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FBC0" w14:textId="77777777" w:rsidR="005204F5" w:rsidRDefault="005204F5" w:rsidP="005204F5">
      <w:pPr>
        <w:jc w:val="center"/>
        <w:rPr>
          <w:sz w:val="40"/>
          <w:szCs w:val="40"/>
        </w:rPr>
      </w:pPr>
    </w:p>
    <w:p w14:paraId="5A4E2C01" w14:textId="7E06D06E" w:rsidR="005204F5" w:rsidRDefault="005204F5" w:rsidP="005204F5">
      <w:pPr>
        <w:jc w:val="center"/>
        <w:rPr>
          <w:sz w:val="40"/>
          <w:szCs w:val="40"/>
        </w:rPr>
      </w:pPr>
      <w:r w:rsidRPr="005204F5">
        <w:rPr>
          <w:sz w:val="40"/>
          <w:szCs w:val="40"/>
        </w:rPr>
        <w:t>Oregon Interstate Compact State Council Meeting</w:t>
      </w:r>
    </w:p>
    <w:p w14:paraId="3A6CA270" w14:textId="0C99F40A" w:rsidR="00FB723A" w:rsidRPr="005204F5" w:rsidRDefault="005204F5" w:rsidP="00FB723A">
      <w:pPr>
        <w:jc w:val="center"/>
        <w:rPr>
          <w:b/>
        </w:rPr>
      </w:pPr>
      <w:r w:rsidRPr="005204F5">
        <w:rPr>
          <w:b/>
        </w:rPr>
        <w:t>December</w:t>
      </w:r>
      <w:r w:rsidR="00EF770D" w:rsidRPr="005204F5">
        <w:rPr>
          <w:b/>
        </w:rPr>
        <w:t xml:space="preserve"> </w:t>
      </w:r>
      <w:r w:rsidRPr="005204F5">
        <w:rPr>
          <w:b/>
        </w:rPr>
        <w:t>10</w:t>
      </w:r>
      <w:r w:rsidR="00E65B17" w:rsidRPr="005204F5">
        <w:rPr>
          <w:b/>
        </w:rPr>
        <w:t>, 2021</w:t>
      </w:r>
      <w:r w:rsidR="005B36FF" w:rsidRPr="005204F5">
        <w:rPr>
          <w:b/>
        </w:rPr>
        <w:t xml:space="preserve">   </w:t>
      </w:r>
      <w:r w:rsidRPr="005204F5">
        <w:rPr>
          <w:b/>
        </w:rPr>
        <w:t>10:00 – 11:30am</w:t>
      </w:r>
    </w:p>
    <w:p w14:paraId="74A07FBF" w14:textId="77777777" w:rsidR="00DD54A1" w:rsidRPr="005204F5" w:rsidRDefault="00DD54A1" w:rsidP="00FB723A">
      <w:pPr>
        <w:jc w:val="center"/>
        <w:rPr>
          <w:b/>
        </w:rPr>
      </w:pPr>
    </w:p>
    <w:p w14:paraId="4C51BE9E" w14:textId="77777777" w:rsidR="00FB723A" w:rsidRPr="005204F5" w:rsidRDefault="00FB723A" w:rsidP="00FB723A">
      <w:pPr>
        <w:jc w:val="center"/>
        <w:rPr>
          <w:b/>
          <w:u w:val="single"/>
        </w:rPr>
      </w:pPr>
      <w:r w:rsidRPr="005204F5">
        <w:rPr>
          <w:b/>
          <w:u w:val="single"/>
        </w:rPr>
        <w:t>MEETING LOCATION:</w:t>
      </w:r>
    </w:p>
    <w:p w14:paraId="770A9387" w14:textId="7CB24100" w:rsidR="00035A9A" w:rsidRPr="005204F5" w:rsidRDefault="005204F5" w:rsidP="00035A9A">
      <w:pPr>
        <w:jc w:val="center"/>
        <w:rPr>
          <w:sz w:val="22"/>
          <w:szCs w:val="22"/>
        </w:rPr>
      </w:pPr>
      <w:r w:rsidRPr="005204F5">
        <w:rPr>
          <w:sz w:val="22"/>
          <w:szCs w:val="22"/>
        </w:rPr>
        <w:t>MS Team Video Conference</w:t>
      </w:r>
    </w:p>
    <w:p w14:paraId="71C6E444" w14:textId="77777777" w:rsidR="00A12675" w:rsidRPr="00DD54A1" w:rsidRDefault="00A12675" w:rsidP="00FB723A"/>
    <w:p w14:paraId="1C721A0A" w14:textId="47D644AE" w:rsidR="00254375" w:rsidRPr="005204F5" w:rsidRDefault="005204F5" w:rsidP="00254375">
      <w:pPr>
        <w:jc w:val="center"/>
        <w:rPr>
          <w:sz w:val="22"/>
          <w:szCs w:val="22"/>
        </w:rPr>
      </w:pPr>
      <w:r w:rsidRPr="005204F5">
        <w:rPr>
          <w:sz w:val="22"/>
          <w:szCs w:val="22"/>
        </w:rPr>
        <w:t>Attendees</w:t>
      </w:r>
      <w:r w:rsidR="00254375">
        <w:rPr>
          <w:sz w:val="22"/>
          <w:szCs w:val="22"/>
        </w:rPr>
        <w:t xml:space="preserve">  </w:t>
      </w:r>
    </w:p>
    <w:p w14:paraId="1AD192A4" w14:textId="74F36C66" w:rsidR="005204F5" w:rsidRDefault="005204F5" w:rsidP="007101F2">
      <w:pPr>
        <w:jc w:val="center"/>
        <w:rPr>
          <w:sz w:val="20"/>
        </w:rPr>
      </w:pPr>
    </w:p>
    <w:tbl>
      <w:tblPr>
        <w:tblStyle w:val="TableGrid"/>
        <w:tblW w:w="0" w:type="auto"/>
        <w:jc w:val="center"/>
        <w:tblLook w:val="04A0" w:firstRow="1" w:lastRow="0" w:firstColumn="1" w:lastColumn="0" w:noHBand="0" w:noVBand="1"/>
      </w:tblPr>
      <w:tblGrid>
        <w:gridCol w:w="2965"/>
        <w:gridCol w:w="1350"/>
        <w:gridCol w:w="3510"/>
      </w:tblGrid>
      <w:tr w:rsidR="00D87E0E" w:rsidRPr="00D87E0E" w14:paraId="6D878AB0" w14:textId="77777777" w:rsidTr="00513B07">
        <w:trPr>
          <w:jc w:val="center"/>
        </w:trPr>
        <w:tc>
          <w:tcPr>
            <w:tcW w:w="2965" w:type="dxa"/>
          </w:tcPr>
          <w:p w14:paraId="39A58038" w14:textId="77777777" w:rsidR="00D87E0E" w:rsidRPr="00D87E0E" w:rsidRDefault="00D87E0E" w:rsidP="00D87E0E">
            <w:pPr>
              <w:jc w:val="center"/>
              <w:rPr>
                <w:sz w:val="20"/>
              </w:rPr>
            </w:pPr>
            <w:r w:rsidRPr="00D87E0E">
              <w:rPr>
                <w:sz w:val="20"/>
              </w:rPr>
              <w:t>Name</w:t>
            </w:r>
          </w:p>
        </w:tc>
        <w:tc>
          <w:tcPr>
            <w:tcW w:w="1350" w:type="dxa"/>
          </w:tcPr>
          <w:p w14:paraId="1D34AC6D" w14:textId="77777777" w:rsidR="00D87E0E" w:rsidRPr="00D87E0E" w:rsidRDefault="00D87E0E" w:rsidP="00D87E0E">
            <w:pPr>
              <w:jc w:val="center"/>
              <w:rPr>
                <w:sz w:val="20"/>
              </w:rPr>
            </w:pPr>
            <w:r w:rsidRPr="00D87E0E">
              <w:rPr>
                <w:sz w:val="20"/>
              </w:rPr>
              <w:t>Title</w:t>
            </w:r>
          </w:p>
        </w:tc>
        <w:tc>
          <w:tcPr>
            <w:tcW w:w="3510" w:type="dxa"/>
          </w:tcPr>
          <w:p w14:paraId="08C7A166" w14:textId="77777777" w:rsidR="00D87E0E" w:rsidRPr="00D87E0E" w:rsidRDefault="00D87E0E" w:rsidP="00D87E0E">
            <w:pPr>
              <w:jc w:val="center"/>
              <w:rPr>
                <w:sz w:val="20"/>
              </w:rPr>
            </w:pPr>
            <w:r w:rsidRPr="00D87E0E">
              <w:rPr>
                <w:sz w:val="20"/>
              </w:rPr>
              <w:t>Representing</w:t>
            </w:r>
          </w:p>
        </w:tc>
      </w:tr>
      <w:tr w:rsidR="00D87E0E" w:rsidRPr="00D87E0E" w14:paraId="1EFB501F" w14:textId="77777777" w:rsidTr="00513B07">
        <w:trPr>
          <w:jc w:val="center"/>
        </w:trPr>
        <w:tc>
          <w:tcPr>
            <w:tcW w:w="2965" w:type="dxa"/>
          </w:tcPr>
          <w:p w14:paraId="03E06A77" w14:textId="77777777" w:rsidR="00D87E0E" w:rsidRPr="00D87E0E" w:rsidRDefault="00D87E0E" w:rsidP="00D87E0E">
            <w:pPr>
              <w:jc w:val="center"/>
              <w:rPr>
                <w:sz w:val="20"/>
              </w:rPr>
            </w:pPr>
            <w:r w:rsidRPr="00D87E0E">
              <w:rPr>
                <w:sz w:val="20"/>
              </w:rPr>
              <w:t>Stromberg, Jeremiah</w:t>
            </w:r>
          </w:p>
        </w:tc>
        <w:tc>
          <w:tcPr>
            <w:tcW w:w="1350" w:type="dxa"/>
          </w:tcPr>
          <w:p w14:paraId="536119B1" w14:textId="77777777" w:rsidR="00D87E0E" w:rsidRPr="00D87E0E" w:rsidRDefault="00D87E0E" w:rsidP="00D87E0E">
            <w:pPr>
              <w:jc w:val="center"/>
              <w:rPr>
                <w:sz w:val="20"/>
              </w:rPr>
            </w:pPr>
            <w:r w:rsidRPr="00D87E0E">
              <w:rPr>
                <w:sz w:val="20"/>
              </w:rPr>
              <w:t>Chair</w:t>
            </w:r>
          </w:p>
        </w:tc>
        <w:tc>
          <w:tcPr>
            <w:tcW w:w="3510" w:type="dxa"/>
          </w:tcPr>
          <w:p w14:paraId="4F23798F" w14:textId="77777777" w:rsidR="00D87E0E" w:rsidRPr="00D87E0E" w:rsidRDefault="00D87E0E" w:rsidP="00D87E0E">
            <w:pPr>
              <w:jc w:val="center"/>
              <w:rPr>
                <w:sz w:val="20"/>
              </w:rPr>
            </w:pPr>
            <w:r w:rsidRPr="00D87E0E">
              <w:rPr>
                <w:sz w:val="20"/>
              </w:rPr>
              <w:t>Commissioner</w:t>
            </w:r>
          </w:p>
        </w:tc>
      </w:tr>
      <w:tr w:rsidR="00D87E0E" w:rsidRPr="00D87E0E" w14:paraId="1D3F42D1" w14:textId="77777777" w:rsidTr="00513B07">
        <w:trPr>
          <w:jc w:val="center"/>
        </w:trPr>
        <w:tc>
          <w:tcPr>
            <w:tcW w:w="2965" w:type="dxa"/>
          </w:tcPr>
          <w:p w14:paraId="2A3D81B1" w14:textId="77777777" w:rsidR="00D87E0E" w:rsidRPr="00D87E0E" w:rsidRDefault="00D87E0E" w:rsidP="00D87E0E">
            <w:pPr>
              <w:jc w:val="center"/>
              <w:rPr>
                <w:sz w:val="20"/>
              </w:rPr>
            </w:pPr>
            <w:r w:rsidRPr="00D87E0E">
              <w:rPr>
                <w:sz w:val="20"/>
              </w:rPr>
              <w:t xml:space="preserve">Patterson, Mark </w:t>
            </w:r>
          </w:p>
        </w:tc>
        <w:tc>
          <w:tcPr>
            <w:tcW w:w="1350" w:type="dxa"/>
          </w:tcPr>
          <w:p w14:paraId="14A52145" w14:textId="77777777" w:rsidR="00D87E0E" w:rsidRPr="00D87E0E" w:rsidRDefault="00D87E0E" w:rsidP="00D87E0E">
            <w:pPr>
              <w:jc w:val="center"/>
              <w:rPr>
                <w:sz w:val="20"/>
              </w:rPr>
            </w:pPr>
            <w:r w:rsidRPr="00D87E0E">
              <w:rPr>
                <w:sz w:val="20"/>
              </w:rPr>
              <w:t>Vice-Chair</w:t>
            </w:r>
          </w:p>
        </w:tc>
        <w:tc>
          <w:tcPr>
            <w:tcW w:w="3510" w:type="dxa"/>
          </w:tcPr>
          <w:p w14:paraId="1DFA0FDD" w14:textId="77777777" w:rsidR="00D87E0E" w:rsidRPr="00D87E0E" w:rsidRDefault="00D87E0E" w:rsidP="00D87E0E">
            <w:pPr>
              <w:jc w:val="center"/>
              <w:rPr>
                <w:sz w:val="20"/>
              </w:rPr>
            </w:pPr>
            <w:r w:rsidRPr="00D87E0E">
              <w:rPr>
                <w:sz w:val="20"/>
              </w:rPr>
              <w:t>DCA</w:t>
            </w:r>
          </w:p>
        </w:tc>
      </w:tr>
      <w:tr w:rsidR="00D87E0E" w:rsidRPr="00D87E0E" w14:paraId="0B300775" w14:textId="77777777" w:rsidTr="00513B07">
        <w:trPr>
          <w:jc w:val="center"/>
        </w:trPr>
        <w:tc>
          <w:tcPr>
            <w:tcW w:w="2965" w:type="dxa"/>
          </w:tcPr>
          <w:p w14:paraId="1EF301E0" w14:textId="66527A8C" w:rsidR="00D87E0E" w:rsidRPr="00D87E0E" w:rsidRDefault="00F95512" w:rsidP="00D87E0E">
            <w:pPr>
              <w:jc w:val="center"/>
              <w:rPr>
                <w:sz w:val="20"/>
              </w:rPr>
            </w:pPr>
            <w:r>
              <w:rPr>
                <w:sz w:val="20"/>
              </w:rPr>
              <w:t>*</w:t>
            </w:r>
            <w:r w:rsidR="00D87E0E" w:rsidRPr="00D87E0E">
              <w:rPr>
                <w:sz w:val="20"/>
              </w:rPr>
              <w:t>Megan Becker</w:t>
            </w:r>
          </w:p>
        </w:tc>
        <w:tc>
          <w:tcPr>
            <w:tcW w:w="1350" w:type="dxa"/>
          </w:tcPr>
          <w:p w14:paraId="6B9BBFD2" w14:textId="77777777" w:rsidR="00D87E0E" w:rsidRPr="00D87E0E" w:rsidRDefault="00D87E0E" w:rsidP="00D87E0E">
            <w:pPr>
              <w:jc w:val="center"/>
              <w:rPr>
                <w:sz w:val="20"/>
              </w:rPr>
            </w:pPr>
            <w:r w:rsidRPr="00D87E0E">
              <w:rPr>
                <w:sz w:val="20"/>
              </w:rPr>
              <w:t>Secretary</w:t>
            </w:r>
          </w:p>
        </w:tc>
        <w:tc>
          <w:tcPr>
            <w:tcW w:w="3510" w:type="dxa"/>
          </w:tcPr>
          <w:p w14:paraId="511AC623" w14:textId="77777777" w:rsidR="00D87E0E" w:rsidRPr="00D87E0E" w:rsidRDefault="00D87E0E" w:rsidP="00D87E0E">
            <w:pPr>
              <w:jc w:val="center"/>
              <w:rPr>
                <w:sz w:val="20"/>
              </w:rPr>
            </w:pPr>
            <w:r w:rsidRPr="00D87E0E">
              <w:rPr>
                <w:sz w:val="20"/>
              </w:rPr>
              <w:t>Support</w:t>
            </w:r>
          </w:p>
        </w:tc>
      </w:tr>
      <w:tr w:rsidR="00D87E0E" w:rsidRPr="00D87E0E" w14:paraId="4D76E30E" w14:textId="77777777" w:rsidTr="00513B07">
        <w:trPr>
          <w:jc w:val="center"/>
        </w:trPr>
        <w:tc>
          <w:tcPr>
            <w:tcW w:w="2965" w:type="dxa"/>
          </w:tcPr>
          <w:p w14:paraId="4C9AC5B5" w14:textId="77777777" w:rsidR="00D87E0E" w:rsidRPr="00D87E0E" w:rsidRDefault="00D87E0E" w:rsidP="00D87E0E">
            <w:pPr>
              <w:jc w:val="center"/>
              <w:rPr>
                <w:sz w:val="20"/>
              </w:rPr>
            </w:pPr>
            <w:r w:rsidRPr="00D87E0E">
              <w:rPr>
                <w:sz w:val="20"/>
              </w:rPr>
              <w:t>Berry, Brad</w:t>
            </w:r>
          </w:p>
        </w:tc>
        <w:tc>
          <w:tcPr>
            <w:tcW w:w="1350" w:type="dxa"/>
          </w:tcPr>
          <w:p w14:paraId="689F7F0D" w14:textId="77777777" w:rsidR="00D87E0E" w:rsidRPr="00D87E0E" w:rsidRDefault="00D87E0E" w:rsidP="00D87E0E">
            <w:pPr>
              <w:jc w:val="center"/>
              <w:rPr>
                <w:sz w:val="20"/>
              </w:rPr>
            </w:pPr>
          </w:p>
        </w:tc>
        <w:tc>
          <w:tcPr>
            <w:tcW w:w="3510" w:type="dxa"/>
          </w:tcPr>
          <w:p w14:paraId="49DA0ECE" w14:textId="77777777" w:rsidR="00D87E0E" w:rsidRPr="00D87E0E" w:rsidRDefault="00D87E0E" w:rsidP="00D87E0E">
            <w:pPr>
              <w:jc w:val="center"/>
              <w:rPr>
                <w:sz w:val="20"/>
              </w:rPr>
            </w:pPr>
            <w:r w:rsidRPr="00D87E0E">
              <w:rPr>
                <w:sz w:val="20"/>
              </w:rPr>
              <w:t>District Attorney</w:t>
            </w:r>
          </w:p>
        </w:tc>
      </w:tr>
      <w:tr w:rsidR="00D87E0E" w:rsidRPr="00D87E0E" w14:paraId="1A7F794E" w14:textId="77777777" w:rsidTr="00513B07">
        <w:trPr>
          <w:jc w:val="center"/>
        </w:trPr>
        <w:tc>
          <w:tcPr>
            <w:tcW w:w="2965" w:type="dxa"/>
          </w:tcPr>
          <w:p w14:paraId="64F17157" w14:textId="77777777" w:rsidR="00D87E0E" w:rsidRPr="00D87E0E" w:rsidRDefault="00D87E0E" w:rsidP="00D87E0E">
            <w:pPr>
              <w:jc w:val="center"/>
              <w:rPr>
                <w:sz w:val="20"/>
              </w:rPr>
            </w:pPr>
            <w:r w:rsidRPr="00D87E0E">
              <w:rPr>
                <w:sz w:val="20"/>
              </w:rPr>
              <w:t>Judge Kelly Skye</w:t>
            </w:r>
          </w:p>
        </w:tc>
        <w:tc>
          <w:tcPr>
            <w:tcW w:w="1350" w:type="dxa"/>
          </w:tcPr>
          <w:p w14:paraId="1D960DF8" w14:textId="77777777" w:rsidR="00D87E0E" w:rsidRPr="00D87E0E" w:rsidRDefault="00D87E0E" w:rsidP="00D87E0E">
            <w:pPr>
              <w:jc w:val="center"/>
              <w:rPr>
                <w:sz w:val="20"/>
              </w:rPr>
            </w:pPr>
          </w:p>
        </w:tc>
        <w:tc>
          <w:tcPr>
            <w:tcW w:w="3510" w:type="dxa"/>
          </w:tcPr>
          <w:p w14:paraId="20A2A422" w14:textId="77777777" w:rsidR="00D87E0E" w:rsidRPr="00D87E0E" w:rsidRDefault="00D87E0E" w:rsidP="00D87E0E">
            <w:pPr>
              <w:jc w:val="center"/>
              <w:rPr>
                <w:sz w:val="20"/>
              </w:rPr>
            </w:pPr>
            <w:r w:rsidRPr="00D87E0E">
              <w:rPr>
                <w:sz w:val="20"/>
              </w:rPr>
              <w:t>Judicial</w:t>
            </w:r>
          </w:p>
        </w:tc>
      </w:tr>
      <w:tr w:rsidR="00D87E0E" w:rsidRPr="00D87E0E" w14:paraId="13FDE03D" w14:textId="77777777" w:rsidTr="00513B07">
        <w:trPr>
          <w:jc w:val="center"/>
        </w:trPr>
        <w:tc>
          <w:tcPr>
            <w:tcW w:w="2965" w:type="dxa"/>
          </w:tcPr>
          <w:p w14:paraId="275D6DB8" w14:textId="77777777" w:rsidR="00D87E0E" w:rsidRPr="00D87E0E" w:rsidRDefault="00D87E0E" w:rsidP="00D87E0E">
            <w:pPr>
              <w:jc w:val="center"/>
              <w:rPr>
                <w:sz w:val="20"/>
              </w:rPr>
            </w:pPr>
            <w:r w:rsidRPr="00D87E0E">
              <w:rPr>
                <w:sz w:val="20"/>
              </w:rPr>
              <w:t>Townsend, Nicole</w:t>
            </w:r>
          </w:p>
        </w:tc>
        <w:tc>
          <w:tcPr>
            <w:tcW w:w="1350" w:type="dxa"/>
          </w:tcPr>
          <w:p w14:paraId="4646F127" w14:textId="77777777" w:rsidR="00D87E0E" w:rsidRPr="00D87E0E" w:rsidRDefault="00D87E0E" w:rsidP="00D87E0E">
            <w:pPr>
              <w:jc w:val="center"/>
              <w:rPr>
                <w:sz w:val="20"/>
              </w:rPr>
            </w:pPr>
          </w:p>
        </w:tc>
        <w:tc>
          <w:tcPr>
            <w:tcW w:w="3510" w:type="dxa"/>
          </w:tcPr>
          <w:p w14:paraId="2A9E3FAF" w14:textId="77777777" w:rsidR="00D87E0E" w:rsidRPr="00D87E0E" w:rsidRDefault="00D87E0E" w:rsidP="00D87E0E">
            <w:pPr>
              <w:jc w:val="center"/>
              <w:rPr>
                <w:sz w:val="20"/>
              </w:rPr>
            </w:pPr>
            <w:r w:rsidRPr="00D87E0E">
              <w:rPr>
                <w:sz w:val="20"/>
              </w:rPr>
              <w:t>Governor’s Appointment</w:t>
            </w:r>
          </w:p>
        </w:tc>
      </w:tr>
      <w:tr w:rsidR="00D87E0E" w:rsidRPr="00D87E0E" w14:paraId="69161C03" w14:textId="77777777" w:rsidTr="00513B07">
        <w:trPr>
          <w:jc w:val="center"/>
        </w:trPr>
        <w:tc>
          <w:tcPr>
            <w:tcW w:w="2965" w:type="dxa"/>
          </w:tcPr>
          <w:p w14:paraId="0D903877" w14:textId="77777777" w:rsidR="00D87E0E" w:rsidRPr="00D87E0E" w:rsidRDefault="00D87E0E" w:rsidP="00D87E0E">
            <w:pPr>
              <w:jc w:val="center"/>
              <w:rPr>
                <w:sz w:val="20"/>
              </w:rPr>
            </w:pPr>
            <w:r w:rsidRPr="00D87E0E">
              <w:rPr>
                <w:sz w:val="20"/>
              </w:rPr>
              <w:t>Chrisemer, Annette</w:t>
            </w:r>
          </w:p>
        </w:tc>
        <w:tc>
          <w:tcPr>
            <w:tcW w:w="1350" w:type="dxa"/>
          </w:tcPr>
          <w:p w14:paraId="70D2D876" w14:textId="77777777" w:rsidR="00D87E0E" w:rsidRPr="00D87E0E" w:rsidRDefault="00D87E0E" w:rsidP="00D87E0E">
            <w:pPr>
              <w:jc w:val="center"/>
              <w:rPr>
                <w:sz w:val="20"/>
              </w:rPr>
            </w:pPr>
          </w:p>
        </w:tc>
        <w:tc>
          <w:tcPr>
            <w:tcW w:w="3510" w:type="dxa"/>
          </w:tcPr>
          <w:p w14:paraId="63C71FA6" w14:textId="77777777" w:rsidR="00D87E0E" w:rsidRPr="00D87E0E" w:rsidRDefault="00D87E0E" w:rsidP="00D87E0E">
            <w:pPr>
              <w:jc w:val="center"/>
              <w:rPr>
                <w:sz w:val="20"/>
              </w:rPr>
            </w:pPr>
            <w:r w:rsidRPr="00D87E0E">
              <w:rPr>
                <w:sz w:val="20"/>
              </w:rPr>
              <w:t>Victim Representative</w:t>
            </w:r>
          </w:p>
        </w:tc>
      </w:tr>
      <w:tr w:rsidR="00D87E0E" w:rsidRPr="00D87E0E" w14:paraId="1E1C78EF" w14:textId="77777777" w:rsidTr="00513B07">
        <w:trPr>
          <w:jc w:val="center"/>
        </w:trPr>
        <w:tc>
          <w:tcPr>
            <w:tcW w:w="2965" w:type="dxa"/>
          </w:tcPr>
          <w:p w14:paraId="103D90D6" w14:textId="30980733" w:rsidR="00D87E0E" w:rsidRPr="00D87E0E" w:rsidRDefault="00F95512" w:rsidP="00D87E0E">
            <w:pPr>
              <w:jc w:val="center"/>
              <w:rPr>
                <w:sz w:val="20"/>
              </w:rPr>
            </w:pPr>
            <w:r>
              <w:rPr>
                <w:sz w:val="20"/>
              </w:rPr>
              <w:t>*</w:t>
            </w:r>
            <w:r w:rsidR="00D87E0E" w:rsidRPr="00D87E0E">
              <w:rPr>
                <w:sz w:val="20"/>
              </w:rPr>
              <w:t>Representative Marty Wilde</w:t>
            </w:r>
          </w:p>
        </w:tc>
        <w:tc>
          <w:tcPr>
            <w:tcW w:w="1350" w:type="dxa"/>
          </w:tcPr>
          <w:p w14:paraId="24EA0AE1" w14:textId="77777777" w:rsidR="00D87E0E" w:rsidRPr="00D87E0E" w:rsidRDefault="00D87E0E" w:rsidP="00D87E0E">
            <w:pPr>
              <w:jc w:val="center"/>
              <w:rPr>
                <w:sz w:val="20"/>
              </w:rPr>
            </w:pPr>
          </w:p>
        </w:tc>
        <w:tc>
          <w:tcPr>
            <w:tcW w:w="3510" w:type="dxa"/>
          </w:tcPr>
          <w:p w14:paraId="41B028DD" w14:textId="77777777" w:rsidR="00D87E0E" w:rsidRPr="00D87E0E" w:rsidRDefault="00D87E0E" w:rsidP="00D87E0E">
            <w:pPr>
              <w:jc w:val="center"/>
              <w:rPr>
                <w:sz w:val="20"/>
              </w:rPr>
            </w:pPr>
            <w:r w:rsidRPr="00D87E0E">
              <w:rPr>
                <w:sz w:val="20"/>
              </w:rPr>
              <w:t>House Appointment</w:t>
            </w:r>
          </w:p>
        </w:tc>
      </w:tr>
      <w:tr w:rsidR="00D87E0E" w:rsidRPr="00D87E0E" w14:paraId="44D50566" w14:textId="77777777" w:rsidTr="00513B07">
        <w:trPr>
          <w:jc w:val="center"/>
        </w:trPr>
        <w:tc>
          <w:tcPr>
            <w:tcW w:w="2965" w:type="dxa"/>
          </w:tcPr>
          <w:p w14:paraId="455829B6" w14:textId="77777777" w:rsidR="00D87E0E" w:rsidRPr="00D87E0E" w:rsidRDefault="00D87E0E" w:rsidP="00D87E0E">
            <w:pPr>
              <w:jc w:val="center"/>
              <w:rPr>
                <w:sz w:val="20"/>
              </w:rPr>
            </w:pPr>
            <w:r w:rsidRPr="00D87E0E">
              <w:rPr>
                <w:sz w:val="20"/>
              </w:rPr>
              <w:t>Senator Floyd Prozanski</w:t>
            </w:r>
          </w:p>
        </w:tc>
        <w:tc>
          <w:tcPr>
            <w:tcW w:w="1350" w:type="dxa"/>
          </w:tcPr>
          <w:p w14:paraId="6245107E" w14:textId="77777777" w:rsidR="00D87E0E" w:rsidRPr="00D87E0E" w:rsidRDefault="00D87E0E" w:rsidP="00D87E0E">
            <w:pPr>
              <w:jc w:val="center"/>
              <w:rPr>
                <w:sz w:val="20"/>
              </w:rPr>
            </w:pPr>
          </w:p>
        </w:tc>
        <w:tc>
          <w:tcPr>
            <w:tcW w:w="3510" w:type="dxa"/>
          </w:tcPr>
          <w:p w14:paraId="0E96A8C3" w14:textId="77777777" w:rsidR="00D87E0E" w:rsidRPr="00D87E0E" w:rsidRDefault="00D87E0E" w:rsidP="00D87E0E">
            <w:pPr>
              <w:jc w:val="center"/>
              <w:rPr>
                <w:sz w:val="20"/>
              </w:rPr>
            </w:pPr>
            <w:r w:rsidRPr="00D87E0E">
              <w:rPr>
                <w:sz w:val="20"/>
              </w:rPr>
              <w:t>Senate Appointment</w:t>
            </w:r>
          </w:p>
        </w:tc>
      </w:tr>
      <w:tr w:rsidR="00D87E0E" w:rsidRPr="00D87E0E" w14:paraId="325C2BF5" w14:textId="77777777" w:rsidTr="00513B07">
        <w:trPr>
          <w:jc w:val="center"/>
        </w:trPr>
        <w:tc>
          <w:tcPr>
            <w:tcW w:w="2965" w:type="dxa"/>
          </w:tcPr>
          <w:p w14:paraId="3B3CFB9D" w14:textId="77777777" w:rsidR="00D87E0E" w:rsidRPr="00D87E0E" w:rsidRDefault="00D87E0E" w:rsidP="00D87E0E">
            <w:pPr>
              <w:jc w:val="center"/>
              <w:rPr>
                <w:sz w:val="20"/>
              </w:rPr>
            </w:pPr>
            <w:r w:rsidRPr="00D87E0E">
              <w:rPr>
                <w:sz w:val="20"/>
              </w:rPr>
              <w:t>Vacant</w:t>
            </w:r>
          </w:p>
        </w:tc>
        <w:tc>
          <w:tcPr>
            <w:tcW w:w="1350" w:type="dxa"/>
          </w:tcPr>
          <w:p w14:paraId="2D8D7C8B" w14:textId="77777777" w:rsidR="00D87E0E" w:rsidRPr="00D87E0E" w:rsidRDefault="00D87E0E" w:rsidP="00D87E0E">
            <w:pPr>
              <w:jc w:val="center"/>
              <w:rPr>
                <w:sz w:val="20"/>
              </w:rPr>
            </w:pPr>
          </w:p>
        </w:tc>
        <w:tc>
          <w:tcPr>
            <w:tcW w:w="3510" w:type="dxa"/>
          </w:tcPr>
          <w:p w14:paraId="27EFB76A" w14:textId="77777777" w:rsidR="00D87E0E" w:rsidRPr="00D87E0E" w:rsidRDefault="00D87E0E" w:rsidP="00D87E0E">
            <w:pPr>
              <w:jc w:val="center"/>
              <w:rPr>
                <w:sz w:val="20"/>
              </w:rPr>
            </w:pPr>
            <w:r w:rsidRPr="00D87E0E">
              <w:rPr>
                <w:sz w:val="20"/>
              </w:rPr>
              <w:t>OSSA</w:t>
            </w:r>
          </w:p>
        </w:tc>
      </w:tr>
      <w:tr w:rsidR="00D87E0E" w:rsidRPr="00D87E0E" w14:paraId="58026D45" w14:textId="77777777" w:rsidTr="00513B07">
        <w:trPr>
          <w:jc w:val="center"/>
        </w:trPr>
        <w:tc>
          <w:tcPr>
            <w:tcW w:w="2965" w:type="dxa"/>
          </w:tcPr>
          <w:p w14:paraId="150F36AA" w14:textId="77777777" w:rsidR="00D87E0E" w:rsidRPr="00D87E0E" w:rsidRDefault="00D87E0E" w:rsidP="00D87E0E">
            <w:pPr>
              <w:jc w:val="center"/>
              <w:rPr>
                <w:sz w:val="20"/>
              </w:rPr>
            </w:pPr>
            <w:r w:rsidRPr="00D87E0E">
              <w:rPr>
                <w:sz w:val="20"/>
              </w:rPr>
              <w:t>Fowler, Heather</w:t>
            </w:r>
          </w:p>
        </w:tc>
        <w:tc>
          <w:tcPr>
            <w:tcW w:w="1350" w:type="dxa"/>
          </w:tcPr>
          <w:p w14:paraId="03B0D760" w14:textId="77777777" w:rsidR="00D87E0E" w:rsidRPr="00D87E0E" w:rsidRDefault="00D87E0E" w:rsidP="00D87E0E">
            <w:pPr>
              <w:jc w:val="center"/>
              <w:rPr>
                <w:sz w:val="20"/>
              </w:rPr>
            </w:pPr>
          </w:p>
        </w:tc>
        <w:tc>
          <w:tcPr>
            <w:tcW w:w="3510" w:type="dxa"/>
          </w:tcPr>
          <w:p w14:paraId="32433985" w14:textId="77777777" w:rsidR="00D87E0E" w:rsidRPr="00D87E0E" w:rsidRDefault="00D87E0E" w:rsidP="00D87E0E">
            <w:pPr>
              <w:jc w:val="center"/>
              <w:rPr>
                <w:sz w:val="20"/>
              </w:rPr>
            </w:pPr>
            <w:r w:rsidRPr="00D87E0E">
              <w:rPr>
                <w:sz w:val="20"/>
              </w:rPr>
              <w:t>OACCD, Multnomah Co PO</w:t>
            </w:r>
          </w:p>
        </w:tc>
      </w:tr>
      <w:tr w:rsidR="00D87E0E" w:rsidRPr="00D87E0E" w14:paraId="768819FF" w14:textId="77777777" w:rsidTr="00513B07">
        <w:trPr>
          <w:jc w:val="center"/>
        </w:trPr>
        <w:tc>
          <w:tcPr>
            <w:tcW w:w="2965" w:type="dxa"/>
          </w:tcPr>
          <w:p w14:paraId="7026D49E" w14:textId="053442F3" w:rsidR="00D87E0E" w:rsidRPr="00D87E0E" w:rsidRDefault="00F95512" w:rsidP="00D87E0E">
            <w:pPr>
              <w:jc w:val="center"/>
              <w:rPr>
                <w:sz w:val="20"/>
              </w:rPr>
            </w:pPr>
            <w:r>
              <w:rPr>
                <w:sz w:val="20"/>
              </w:rPr>
              <w:t>*</w:t>
            </w:r>
            <w:r w:rsidR="00D87E0E" w:rsidRPr="00D87E0E">
              <w:rPr>
                <w:sz w:val="20"/>
              </w:rPr>
              <w:t>Potter, Tina</w:t>
            </w:r>
          </w:p>
        </w:tc>
        <w:tc>
          <w:tcPr>
            <w:tcW w:w="1350" w:type="dxa"/>
          </w:tcPr>
          <w:p w14:paraId="1CB7A876" w14:textId="77777777" w:rsidR="00D87E0E" w:rsidRPr="00D87E0E" w:rsidRDefault="00D87E0E" w:rsidP="00D87E0E">
            <w:pPr>
              <w:jc w:val="center"/>
              <w:rPr>
                <w:sz w:val="20"/>
              </w:rPr>
            </w:pPr>
          </w:p>
        </w:tc>
        <w:tc>
          <w:tcPr>
            <w:tcW w:w="3510" w:type="dxa"/>
          </w:tcPr>
          <w:p w14:paraId="4CC68278" w14:textId="77777777" w:rsidR="00D87E0E" w:rsidRPr="00D87E0E" w:rsidRDefault="00D87E0E" w:rsidP="00D87E0E">
            <w:pPr>
              <w:jc w:val="center"/>
              <w:rPr>
                <w:sz w:val="20"/>
              </w:rPr>
            </w:pPr>
            <w:r w:rsidRPr="00D87E0E">
              <w:rPr>
                <w:sz w:val="20"/>
              </w:rPr>
              <w:t>OACCD, Tri County PO</w:t>
            </w:r>
          </w:p>
        </w:tc>
      </w:tr>
      <w:tr w:rsidR="00D87E0E" w:rsidRPr="00D87E0E" w14:paraId="45DB9A3D" w14:textId="77777777" w:rsidTr="00513B07">
        <w:trPr>
          <w:jc w:val="center"/>
        </w:trPr>
        <w:tc>
          <w:tcPr>
            <w:tcW w:w="2965" w:type="dxa"/>
          </w:tcPr>
          <w:p w14:paraId="5E5A34C2" w14:textId="77777777" w:rsidR="00D87E0E" w:rsidRPr="00D87E0E" w:rsidRDefault="00D87E0E" w:rsidP="00D87E0E">
            <w:pPr>
              <w:jc w:val="center"/>
              <w:rPr>
                <w:sz w:val="20"/>
              </w:rPr>
            </w:pPr>
            <w:r w:rsidRPr="00D87E0E">
              <w:rPr>
                <w:sz w:val="20"/>
              </w:rPr>
              <w:t>Greer, Jake</w:t>
            </w:r>
          </w:p>
        </w:tc>
        <w:tc>
          <w:tcPr>
            <w:tcW w:w="1350" w:type="dxa"/>
          </w:tcPr>
          <w:p w14:paraId="45A6F0AF" w14:textId="77777777" w:rsidR="00D87E0E" w:rsidRPr="00D87E0E" w:rsidRDefault="00D87E0E" w:rsidP="00D87E0E">
            <w:pPr>
              <w:jc w:val="center"/>
              <w:rPr>
                <w:sz w:val="20"/>
              </w:rPr>
            </w:pPr>
          </w:p>
        </w:tc>
        <w:tc>
          <w:tcPr>
            <w:tcW w:w="3510" w:type="dxa"/>
          </w:tcPr>
          <w:p w14:paraId="306C4D3B" w14:textId="77777777" w:rsidR="00D87E0E" w:rsidRPr="00D87E0E" w:rsidRDefault="00D87E0E" w:rsidP="00D87E0E">
            <w:pPr>
              <w:jc w:val="center"/>
              <w:rPr>
                <w:sz w:val="20"/>
              </w:rPr>
            </w:pPr>
            <w:r w:rsidRPr="00D87E0E">
              <w:rPr>
                <w:sz w:val="20"/>
              </w:rPr>
              <w:t>OACCD, Lake Co Director</w:t>
            </w:r>
          </w:p>
        </w:tc>
      </w:tr>
      <w:tr w:rsidR="00D87E0E" w:rsidRPr="00D87E0E" w14:paraId="7B7872E1" w14:textId="77777777" w:rsidTr="00513B07">
        <w:trPr>
          <w:jc w:val="center"/>
        </w:trPr>
        <w:tc>
          <w:tcPr>
            <w:tcW w:w="2965" w:type="dxa"/>
          </w:tcPr>
          <w:p w14:paraId="14B8ECC8" w14:textId="40F921F2" w:rsidR="00D87E0E" w:rsidRPr="00D87E0E" w:rsidRDefault="00F95512" w:rsidP="00D87E0E">
            <w:pPr>
              <w:jc w:val="center"/>
              <w:rPr>
                <w:sz w:val="20"/>
              </w:rPr>
            </w:pPr>
            <w:r>
              <w:rPr>
                <w:sz w:val="20"/>
              </w:rPr>
              <w:t>*</w:t>
            </w:r>
            <w:r w:rsidR="00D87E0E" w:rsidRPr="00D87E0E">
              <w:rPr>
                <w:sz w:val="20"/>
              </w:rPr>
              <w:t xml:space="preserve">Severe, Constantin </w:t>
            </w:r>
          </w:p>
        </w:tc>
        <w:tc>
          <w:tcPr>
            <w:tcW w:w="1350" w:type="dxa"/>
          </w:tcPr>
          <w:p w14:paraId="1560673C" w14:textId="77777777" w:rsidR="00D87E0E" w:rsidRPr="00D87E0E" w:rsidRDefault="00D87E0E" w:rsidP="00D87E0E">
            <w:pPr>
              <w:jc w:val="center"/>
              <w:rPr>
                <w:sz w:val="20"/>
              </w:rPr>
            </w:pPr>
          </w:p>
        </w:tc>
        <w:tc>
          <w:tcPr>
            <w:tcW w:w="3510" w:type="dxa"/>
          </w:tcPr>
          <w:p w14:paraId="2E653394" w14:textId="77777777" w:rsidR="00D87E0E" w:rsidRPr="00D87E0E" w:rsidRDefault="00D87E0E" w:rsidP="00D87E0E">
            <w:pPr>
              <w:jc w:val="center"/>
              <w:rPr>
                <w:sz w:val="20"/>
              </w:rPr>
            </w:pPr>
            <w:r w:rsidRPr="00D87E0E">
              <w:rPr>
                <w:sz w:val="20"/>
              </w:rPr>
              <w:t>Governor’s Appointment</w:t>
            </w:r>
          </w:p>
        </w:tc>
      </w:tr>
      <w:tr w:rsidR="00D87E0E" w:rsidRPr="00D87E0E" w14:paraId="0389D1B7" w14:textId="77777777" w:rsidTr="00513B07">
        <w:trPr>
          <w:jc w:val="center"/>
        </w:trPr>
        <w:tc>
          <w:tcPr>
            <w:tcW w:w="2965" w:type="dxa"/>
          </w:tcPr>
          <w:p w14:paraId="56DC11D4" w14:textId="77777777" w:rsidR="00D87E0E" w:rsidRPr="00D87E0E" w:rsidRDefault="00D87E0E" w:rsidP="00D87E0E">
            <w:pPr>
              <w:jc w:val="center"/>
              <w:rPr>
                <w:sz w:val="20"/>
              </w:rPr>
            </w:pPr>
            <w:r w:rsidRPr="00D87E0E">
              <w:rPr>
                <w:sz w:val="20"/>
              </w:rPr>
              <w:t>Vacant</w:t>
            </w:r>
          </w:p>
        </w:tc>
        <w:tc>
          <w:tcPr>
            <w:tcW w:w="1350" w:type="dxa"/>
          </w:tcPr>
          <w:p w14:paraId="53A4E807" w14:textId="77777777" w:rsidR="00D87E0E" w:rsidRPr="00D87E0E" w:rsidRDefault="00D87E0E" w:rsidP="00D87E0E">
            <w:pPr>
              <w:jc w:val="center"/>
              <w:rPr>
                <w:sz w:val="20"/>
              </w:rPr>
            </w:pPr>
          </w:p>
        </w:tc>
        <w:tc>
          <w:tcPr>
            <w:tcW w:w="3510" w:type="dxa"/>
          </w:tcPr>
          <w:p w14:paraId="7866319A" w14:textId="77777777" w:rsidR="00D87E0E" w:rsidRPr="00D87E0E" w:rsidRDefault="00D87E0E" w:rsidP="00D87E0E">
            <w:pPr>
              <w:jc w:val="center"/>
              <w:rPr>
                <w:sz w:val="20"/>
              </w:rPr>
            </w:pPr>
            <w:r w:rsidRPr="00D87E0E">
              <w:rPr>
                <w:sz w:val="20"/>
              </w:rPr>
              <w:t>Public Defender</w:t>
            </w:r>
          </w:p>
        </w:tc>
      </w:tr>
    </w:tbl>
    <w:p w14:paraId="3992888E" w14:textId="4708ECBB" w:rsidR="005204F5" w:rsidRDefault="005204F5" w:rsidP="007101F2">
      <w:pPr>
        <w:jc w:val="center"/>
        <w:rPr>
          <w:sz w:val="20"/>
        </w:rPr>
      </w:pPr>
    </w:p>
    <w:p w14:paraId="3C6E95B4" w14:textId="3296C50C" w:rsidR="00D87E0E" w:rsidRDefault="00F95512" w:rsidP="007101F2">
      <w:pPr>
        <w:jc w:val="center"/>
        <w:rPr>
          <w:sz w:val="20"/>
        </w:rPr>
      </w:pPr>
      <w:r>
        <w:rPr>
          <w:sz w:val="20"/>
        </w:rPr>
        <w:t>*Not Present</w:t>
      </w:r>
    </w:p>
    <w:p w14:paraId="609BFAC1" w14:textId="5AEF98B3" w:rsidR="005204F5" w:rsidRDefault="005204F5" w:rsidP="007101F2">
      <w:pPr>
        <w:jc w:val="center"/>
        <w:rPr>
          <w:sz w:val="20"/>
        </w:rPr>
      </w:pPr>
    </w:p>
    <w:p w14:paraId="057BCB3A" w14:textId="3841F916" w:rsidR="005204F5" w:rsidRPr="00AB540A" w:rsidRDefault="00F95512" w:rsidP="005204F5">
      <w:pPr>
        <w:rPr>
          <w:b/>
          <w:bCs/>
          <w:u w:val="single"/>
        </w:rPr>
      </w:pPr>
      <w:r w:rsidRPr="00AB540A">
        <w:rPr>
          <w:b/>
          <w:bCs/>
          <w:u w:val="single"/>
        </w:rPr>
        <w:t>10:00-10:</w:t>
      </w:r>
      <w:r w:rsidR="006A77F0">
        <w:rPr>
          <w:b/>
          <w:bCs/>
          <w:u w:val="single"/>
        </w:rPr>
        <w:t>20</w:t>
      </w:r>
      <w:r w:rsidRPr="00AB540A">
        <w:rPr>
          <w:b/>
          <w:bCs/>
          <w:u w:val="single"/>
        </w:rPr>
        <w:t xml:space="preserve">am: </w:t>
      </w:r>
      <w:r w:rsidR="005204F5" w:rsidRPr="00AB540A">
        <w:rPr>
          <w:b/>
          <w:bCs/>
          <w:u w:val="single"/>
        </w:rPr>
        <w:t>Introductions</w:t>
      </w:r>
      <w:r w:rsidR="006A77F0">
        <w:rPr>
          <w:b/>
          <w:bCs/>
          <w:u w:val="single"/>
        </w:rPr>
        <w:t>/Oregon Interstate Compact Update</w:t>
      </w:r>
    </w:p>
    <w:p w14:paraId="311E0EAF" w14:textId="7E11AD65" w:rsidR="00F95512" w:rsidRPr="005204F5" w:rsidRDefault="00F95512" w:rsidP="005204F5"/>
    <w:p w14:paraId="79301CA6" w14:textId="2E532003" w:rsidR="005204F5" w:rsidRPr="00F95512" w:rsidRDefault="00F95512" w:rsidP="005204F5">
      <w:pPr>
        <w:rPr>
          <w:u w:val="single"/>
        </w:rPr>
      </w:pPr>
      <w:r w:rsidRPr="00F95512">
        <w:rPr>
          <w:u w:val="single"/>
        </w:rPr>
        <w:t>Review Compact Structure</w:t>
      </w:r>
      <w:r>
        <w:rPr>
          <w:u w:val="single"/>
        </w:rPr>
        <w:t>:</w:t>
      </w:r>
      <w:r w:rsidRPr="00F95512">
        <w:rPr>
          <w:u w:val="single"/>
        </w:rPr>
        <w:t xml:space="preserve"> </w:t>
      </w:r>
    </w:p>
    <w:p w14:paraId="1D9C6E6F" w14:textId="7C7B10F8" w:rsidR="00F95512" w:rsidRDefault="00F95512" w:rsidP="005204F5">
      <w:r>
        <w:t>Jeremiah- Commissioner-Appointed Interstate Compact Representative for Oregon.</w:t>
      </w:r>
    </w:p>
    <w:p w14:paraId="1846E1E9" w14:textId="698899E5" w:rsidR="00F95512" w:rsidRDefault="00F95512" w:rsidP="005204F5">
      <w:r>
        <w:t>Mark Patterson-Deputy Compact Administrator</w:t>
      </w:r>
    </w:p>
    <w:p w14:paraId="058A7E40" w14:textId="6CEAAD50" w:rsidR="00F95512" w:rsidRDefault="00F95512" w:rsidP="005204F5">
      <w:r>
        <w:t>Ruby McClorey- Lead Interstate Compact Coordinator</w:t>
      </w:r>
    </w:p>
    <w:p w14:paraId="65743CEE" w14:textId="796444B0" w:rsidR="00F95512" w:rsidRDefault="00F95512" w:rsidP="005204F5">
      <w:r>
        <w:t>Kristi Reames- Interstate Compact Coordinator (A-M Caseload)</w:t>
      </w:r>
    </w:p>
    <w:p w14:paraId="16AC1C29" w14:textId="161043BF" w:rsidR="00F95512" w:rsidRDefault="00F95512" w:rsidP="005204F5">
      <w:r>
        <w:t>Khris Nunnery- Interstate Compact Coordinator (N-Z Caseload)</w:t>
      </w:r>
    </w:p>
    <w:p w14:paraId="0903B541" w14:textId="6E4D414C" w:rsidR="00BC7F79" w:rsidRDefault="00BC7F79" w:rsidP="005204F5"/>
    <w:p w14:paraId="00353F4A" w14:textId="76CD524F" w:rsidR="00BC7F79" w:rsidRPr="00AB540A" w:rsidRDefault="00BC7F79" w:rsidP="005204F5">
      <w:pPr>
        <w:rPr>
          <w:u w:val="single"/>
        </w:rPr>
      </w:pPr>
      <w:r w:rsidRPr="00AB540A">
        <w:rPr>
          <w:u w:val="single"/>
        </w:rPr>
        <w:t xml:space="preserve">Oregon Compact Stats: </w:t>
      </w:r>
    </w:p>
    <w:p w14:paraId="720736E2" w14:textId="4B6F8E78" w:rsidR="00BC7F79" w:rsidRDefault="00BC7F79" w:rsidP="005204F5">
      <w:r>
        <w:t>542 ICOTS Users</w:t>
      </w:r>
    </w:p>
    <w:p w14:paraId="11B97135" w14:textId="703B7937" w:rsidR="00BC7F79" w:rsidRDefault="00BC7F79" w:rsidP="005204F5">
      <w:r>
        <w:t>1,297 Active Compact offenders supervised in Oregon from other states.</w:t>
      </w:r>
    </w:p>
    <w:p w14:paraId="34A61C55" w14:textId="45CCC684" w:rsidR="00BC7F79" w:rsidRDefault="00BC7F79" w:rsidP="005204F5">
      <w:r>
        <w:t>1,203 Active Compact offenders supervised in other states from Oregon.</w:t>
      </w:r>
    </w:p>
    <w:p w14:paraId="5BE8A226" w14:textId="3DDB9510" w:rsidR="00AB540A" w:rsidRDefault="00AB540A" w:rsidP="005204F5">
      <w:r>
        <w:t>Majority of incoming and outgoing cases are from ID,WA and CA.</w:t>
      </w:r>
    </w:p>
    <w:p w14:paraId="2BF2641A" w14:textId="4F9F0588" w:rsidR="00AB540A" w:rsidRDefault="00AB540A" w:rsidP="005204F5">
      <w:r>
        <w:t>Top 5 Offense Types: Assault, Traffic, Drugs, SO, and Burglary.</w:t>
      </w:r>
    </w:p>
    <w:p w14:paraId="2704C402" w14:textId="458A6B92" w:rsidR="005204F5" w:rsidRPr="005204F5" w:rsidRDefault="00AB540A" w:rsidP="005204F5">
      <w:r>
        <w:t>Top Reasons: Resident and Employment.</w:t>
      </w:r>
    </w:p>
    <w:p w14:paraId="412E15D4" w14:textId="4E2AB6C8" w:rsidR="005204F5" w:rsidRDefault="005204F5" w:rsidP="005204F5"/>
    <w:p w14:paraId="57B2E94D" w14:textId="77777777" w:rsidR="00F61D08" w:rsidRPr="005204F5" w:rsidRDefault="00F61D08" w:rsidP="005204F5"/>
    <w:p w14:paraId="200842B4" w14:textId="4452EA5D" w:rsidR="005204F5" w:rsidRDefault="005204F5" w:rsidP="005204F5">
      <w:pPr>
        <w:rPr>
          <w:b/>
          <w:bCs/>
          <w:u w:val="single"/>
        </w:rPr>
      </w:pPr>
      <w:r w:rsidRPr="00AB540A">
        <w:rPr>
          <w:b/>
          <w:bCs/>
          <w:u w:val="single"/>
        </w:rPr>
        <w:t>National Interstate Compact Update</w:t>
      </w:r>
    </w:p>
    <w:p w14:paraId="2DBDF188" w14:textId="6AE7B2F7" w:rsidR="00AB540A" w:rsidRDefault="00AB540A" w:rsidP="005204F5">
      <w:pPr>
        <w:rPr>
          <w:b/>
          <w:bCs/>
          <w:u w:val="single"/>
        </w:rPr>
      </w:pPr>
    </w:p>
    <w:p w14:paraId="10243D08" w14:textId="69D206FC" w:rsidR="006A77F0" w:rsidRDefault="006A77F0" w:rsidP="005204F5">
      <w:r w:rsidRPr="006A77F0">
        <w:t xml:space="preserve">COVID effects </w:t>
      </w:r>
      <w:r w:rsidR="006E5C4E" w:rsidRPr="006A77F0">
        <w:t>statewide</w:t>
      </w:r>
      <w:r w:rsidR="006E5C4E">
        <w:t xml:space="preserve">: </w:t>
      </w:r>
      <w:r w:rsidRPr="006A77F0">
        <w:t>Limited movemen</w:t>
      </w:r>
      <w:r w:rsidR="006E5C4E">
        <w:t>t, q</w:t>
      </w:r>
      <w:r w:rsidRPr="006A77F0">
        <w:t>uarantine issues</w:t>
      </w:r>
      <w:r w:rsidR="006E5C4E">
        <w:t xml:space="preserve">, </w:t>
      </w:r>
    </w:p>
    <w:p w14:paraId="08D18ED6" w14:textId="77777777" w:rsidR="006A77F0" w:rsidRPr="006A77F0" w:rsidRDefault="006A77F0" w:rsidP="005204F5"/>
    <w:p w14:paraId="1DE3355B" w14:textId="5F6B7700" w:rsidR="006A77F0" w:rsidRPr="006A77F0" w:rsidRDefault="006E5C4E" w:rsidP="005204F5">
      <w:r>
        <w:lastRenderedPageBreak/>
        <w:t>Recently p</w:t>
      </w:r>
      <w:r w:rsidR="006A77F0">
        <w:t>assed e</w:t>
      </w:r>
      <w:r w:rsidR="006A77F0" w:rsidRPr="006A77F0">
        <w:t xml:space="preserve">mergency rule to suspend compliance standards for </w:t>
      </w:r>
      <w:proofErr w:type="gramStart"/>
      <w:r w:rsidR="006A77F0" w:rsidRPr="006A77F0">
        <w:t>a period of time</w:t>
      </w:r>
      <w:proofErr w:type="gramEnd"/>
      <w:r w:rsidR="006A77F0" w:rsidRPr="006A77F0">
        <w:t>. Gave more flexibility to work outside the normal timeframes.</w:t>
      </w:r>
    </w:p>
    <w:p w14:paraId="77F3C150" w14:textId="4BC5DF89" w:rsidR="005204F5" w:rsidRDefault="005204F5" w:rsidP="005204F5"/>
    <w:p w14:paraId="011D6D4E" w14:textId="296934F7" w:rsidR="006A77F0" w:rsidRDefault="006A77F0" w:rsidP="005204F5">
      <w:r>
        <w:t xml:space="preserve">Most states </w:t>
      </w:r>
      <w:r w:rsidR="006E5C4E">
        <w:t xml:space="preserve">have </w:t>
      </w:r>
      <w:r>
        <w:t xml:space="preserve">reopened with more face to face contacts and in office visits. </w:t>
      </w:r>
    </w:p>
    <w:p w14:paraId="69718795" w14:textId="436B4A5A" w:rsidR="006A77F0" w:rsidRDefault="006A77F0" w:rsidP="005204F5"/>
    <w:p w14:paraId="5C2D1C13" w14:textId="2FE401B8" w:rsidR="006E5C4E" w:rsidRPr="005204F5" w:rsidRDefault="006A77F0" w:rsidP="005204F5">
      <w:r>
        <w:t>One area</w:t>
      </w:r>
      <w:r w:rsidR="006E5C4E">
        <w:t xml:space="preserve"> that is a </w:t>
      </w:r>
      <w:r>
        <w:t>struggle is fugitive apprehension and returning individuals back to the sending states for violations due to limited jail compacity and transportation.</w:t>
      </w:r>
      <w:r w:rsidR="006E5C4E">
        <w:t xml:space="preserve"> Looking at more electronic hearings on certain violations.</w:t>
      </w:r>
    </w:p>
    <w:p w14:paraId="5D4C16AB" w14:textId="139A3DAC" w:rsidR="005204F5" w:rsidRDefault="005204F5" w:rsidP="005204F5"/>
    <w:p w14:paraId="1F3CA8F5" w14:textId="07DD48E9" w:rsidR="006E5C4E" w:rsidRDefault="006E5C4E" w:rsidP="005204F5">
      <w:r>
        <w:t xml:space="preserve">NW shuttle still out of commission for the time being. </w:t>
      </w:r>
      <w:r w:rsidR="00E30042">
        <w:t xml:space="preserve">But more creative means to work out transportation agreements with other states is not prohibited and encouraged. </w:t>
      </w:r>
    </w:p>
    <w:p w14:paraId="4F42BBC8" w14:textId="77777777" w:rsidR="00F61D08" w:rsidRDefault="00F61D08" w:rsidP="005204F5"/>
    <w:p w14:paraId="29D1699D" w14:textId="77777777" w:rsidR="006E5C4E" w:rsidRPr="005204F5" w:rsidRDefault="006E5C4E" w:rsidP="005204F5"/>
    <w:p w14:paraId="4B0E7AA8" w14:textId="77777777" w:rsidR="005204F5" w:rsidRPr="006E5C4E" w:rsidRDefault="005204F5" w:rsidP="005204F5">
      <w:pPr>
        <w:rPr>
          <w:b/>
          <w:bCs/>
          <w:u w:val="single"/>
        </w:rPr>
      </w:pPr>
      <w:r w:rsidRPr="006E5C4E">
        <w:rPr>
          <w:b/>
          <w:bCs/>
          <w:u w:val="single"/>
        </w:rPr>
        <w:t>Oregon Compact Compliance for FY 2020 and 2021</w:t>
      </w:r>
    </w:p>
    <w:p w14:paraId="05846563" w14:textId="77777777" w:rsidR="005204F5" w:rsidRPr="005204F5" w:rsidRDefault="005204F5" w:rsidP="005204F5"/>
    <w:p w14:paraId="61B3AE95" w14:textId="53755687" w:rsidR="007D15D7" w:rsidRPr="007D15D7" w:rsidRDefault="00E30042" w:rsidP="005204F5">
      <w:pPr>
        <w:rPr>
          <w:u w:val="single"/>
        </w:rPr>
      </w:pPr>
      <w:r w:rsidRPr="007D15D7">
        <w:rPr>
          <w:u w:val="single"/>
        </w:rPr>
        <w:t>Compliance standards</w:t>
      </w:r>
      <w:r w:rsidR="007D15D7">
        <w:rPr>
          <w:u w:val="single"/>
        </w:rPr>
        <w:t xml:space="preserve"> and Oregon’s Results 2021</w:t>
      </w:r>
      <w:r w:rsidRPr="007D15D7">
        <w:rPr>
          <w:u w:val="single"/>
        </w:rPr>
        <w:t xml:space="preserve">: </w:t>
      </w:r>
      <w:r w:rsidR="007D15D7" w:rsidRPr="007D15D7">
        <w:rPr>
          <w:u w:val="single"/>
        </w:rPr>
        <w:t>(Expected compliance at 80% for each quarter)</w:t>
      </w:r>
    </w:p>
    <w:p w14:paraId="755371F3" w14:textId="77777777" w:rsidR="007D15D7" w:rsidRPr="007D15D7" w:rsidRDefault="007D15D7" w:rsidP="005204F5"/>
    <w:p w14:paraId="04C32C42" w14:textId="4E6AF685" w:rsidR="007D15D7" w:rsidRPr="007D15D7" w:rsidRDefault="00E30042" w:rsidP="005204F5">
      <w:r w:rsidRPr="007D15D7">
        <w:t>Case Closure</w:t>
      </w:r>
      <w:r w:rsidR="007D15D7" w:rsidRPr="007D15D7">
        <w:t>: 92%</w:t>
      </w:r>
    </w:p>
    <w:p w14:paraId="20CD2D9A" w14:textId="59C767EF" w:rsidR="007D15D7" w:rsidRPr="007D15D7" w:rsidRDefault="00E30042" w:rsidP="005204F5">
      <w:r w:rsidRPr="007D15D7">
        <w:t>Violation Responses</w:t>
      </w:r>
      <w:r w:rsidR="007D15D7" w:rsidRPr="007D15D7">
        <w:t>: 93.70%</w:t>
      </w:r>
    </w:p>
    <w:p w14:paraId="76A46470" w14:textId="11634144" w:rsidR="007D15D7" w:rsidRPr="007D15D7" w:rsidRDefault="00E30042" w:rsidP="005204F5">
      <w:r w:rsidRPr="007D15D7">
        <w:t>Case Closure Replies</w:t>
      </w:r>
      <w:r w:rsidR="007D15D7" w:rsidRPr="007D15D7">
        <w:t>: 97%</w:t>
      </w:r>
    </w:p>
    <w:p w14:paraId="6119838E" w14:textId="11AABB79" w:rsidR="007D15D7" w:rsidRPr="007D15D7" w:rsidRDefault="00E30042" w:rsidP="005204F5">
      <w:r w:rsidRPr="007D15D7">
        <w:t>Requested Progress Reports</w:t>
      </w:r>
      <w:r w:rsidR="007D15D7" w:rsidRPr="007D15D7">
        <w:t>: 96.30%</w:t>
      </w:r>
    </w:p>
    <w:p w14:paraId="1DEB1484" w14:textId="5173D909" w:rsidR="007D15D7" w:rsidRPr="007D15D7" w:rsidRDefault="00E30042" w:rsidP="005204F5">
      <w:r w:rsidRPr="007D15D7">
        <w:t>Transfer Reply</w:t>
      </w:r>
      <w:r w:rsidR="007D15D7" w:rsidRPr="007D15D7">
        <w:t>: 95.40%</w:t>
      </w:r>
    </w:p>
    <w:p w14:paraId="43323F16" w14:textId="6A0E5EAC" w:rsidR="005204F5" w:rsidRPr="007D15D7" w:rsidRDefault="00E30042" w:rsidP="005204F5">
      <w:r w:rsidRPr="007D15D7">
        <w:t>Reply for Reporting Instructions</w:t>
      </w:r>
      <w:r w:rsidR="007D15D7" w:rsidRPr="007D15D7">
        <w:t>: 98.40%</w:t>
      </w:r>
    </w:p>
    <w:p w14:paraId="1E71CD45" w14:textId="0EDC89C4" w:rsidR="007D15D7" w:rsidRDefault="007D15D7" w:rsidP="005204F5"/>
    <w:p w14:paraId="3D9DD26F" w14:textId="22E4A4A2" w:rsidR="007D15D7" w:rsidRDefault="007D15D7" w:rsidP="005204F5">
      <w:r>
        <w:t>Last four years Oregon has maintained above 90% on compliance standards.</w:t>
      </w:r>
    </w:p>
    <w:p w14:paraId="388CAD33" w14:textId="77777777" w:rsidR="00F61D08" w:rsidRPr="007D15D7" w:rsidRDefault="00F61D08" w:rsidP="005204F5"/>
    <w:p w14:paraId="442B5377" w14:textId="77777777" w:rsidR="007D15D7" w:rsidRPr="005204F5" w:rsidRDefault="007D15D7" w:rsidP="005204F5"/>
    <w:p w14:paraId="79AB0AB4" w14:textId="77777777" w:rsidR="005204F5" w:rsidRPr="007D15D7" w:rsidRDefault="005204F5" w:rsidP="005204F5">
      <w:pPr>
        <w:rPr>
          <w:b/>
          <w:bCs/>
          <w:u w:val="single"/>
        </w:rPr>
      </w:pPr>
      <w:r w:rsidRPr="007D15D7">
        <w:rPr>
          <w:b/>
          <w:bCs/>
          <w:u w:val="single"/>
        </w:rPr>
        <w:t>2021 Annual Business Meeting Virtually September 2021 – Rule Making Year</w:t>
      </w:r>
    </w:p>
    <w:p w14:paraId="31C681D2" w14:textId="77777777" w:rsidR="005204F5" w:rsidRPr="005204F5" w:rsidRDefault="005204F5" w:rsidP="005204F5"/>
    <w:p w14:paraId="276F1475" w14:textId="59BFE0FF" w:rsidR="005204F5" w:rsidRDefault="005204F5" w:rsidP="005204F5">
      <w:pPr>
        <w:numPr>
          <w:ilvl w:val="0"/>
          <w:numId w:val="1"/>
        </w:numPr>
        <w:contextualSpacing/>
      </w:pPr>
      <w:r w:rsidRPr="005204F5">
        <w:t xml:space="preserve"> New Rules effective April 1, 2022</w:t>
      </w:r>
    </w:p>
    <w:p w14:paraId="31276EFA" w14:textId="77777777" w:rsidR="007D15D7" w:rsidRPr="005204F5" w:rsidRDefault="007D15D7" w:rsidP="007D15D7">
      <w:pPr>
        <w:ind w:left="1080"/>
        <w:contextualSpacing/>
      </w:pPr>
    </w:p>
    <w:p w14:paraId="6B7084B3" w14:textId="063477ED" w:rsidR="005204F5" w:rsidRPr="00DF7482" w:rsidRDefault="007D15D7" w:rsidP="005204F5">
      <w:pPr>
        <w:rPr>
          <w:color w:val="FF0000"/>
        </w:rPr>
      </w:pPr>
      <w:r>
        <w:t xml:space="preserve">New “Resident” Definition: Language changed to </w:t>
      </w:r>
      <w:r w:rsidR="00DF7482" w:rsidRPr="00DF7482">
        <w:rPr>
          <w:color w:val="FF0000"/>
        </w:rPr>
        <w:t xml:space="preserve">has resided in a state for at least 1 year continuously and immediately prior to either the supervision start date or sentence date for the original offense for which transfer is being requested. </w:t>
      </w:r>
    </w:p>
    <w:p w14:paraId="14144932" w14:textId="6948D0B6" w:rsidR="00DF7482" w:rsidRDefault="00DF7482" w:rsidP="005204F5"/>
    <w:p w14:paraId="297BD63F" w14:textId="3DDC9348" w:rsidR="00DF7482" w:rsidRDefault="00DF7482" w:rsidP="005204F5">
      <w:pPr>
        <w:rPr>
          <w:color w:val="FF0000"/>
        </w:rPr>
      </w:pPr>
      <w:r>
        <w:t xml:space="preserve">Probable Cause Hearings: Language changed to no waiver of probable cause hearing shall be accepted unless accompanied by and admission by the offender to 1 or more violation of conditions of supervision </w:t>
      </w:r>
      <w:r w:rsidRPr="00DF7482">
        <w:rPr>
          <w:color w:val="FF0000"/>
        </w:rPr>
        <w:t>that would result in pursuance of revocations of supervision in the receiving state and require retaking.</w:t>
      </w:r>
    </w:p>
    <w:p w14:paraId="520AF8B6" w14:textId="09F449DE" w:rsidR="00DF7482" w:rsidRDefault="00DF7482" w:rsidP="005204F5">
      <w:pPr>
        <w:rPr>
          <w:color w:val="FF0000"/>
        </w:rPr>
      </w:pPr>
    </w:p>
    <w:p w14:paraId="7BC284C3" w14:textId="0E9354E8" w:rsidR="00DF7482" w:rsidRDefault="00DF7482" w:rsidP="005204F5">
      <w:r w:rsidRPr="00DF7482">
        <w:t xml:space="preserve">If the hearing officer determines that there is probable cause to believe that the offender has committed the alleged violations of conditions of supervision </w:t>
      </w:r>
      <w:r w:rsidRPr="00DF7482">
        <w:rPr>
          <w:color w:val="FF0000"/>
        </w:rPr>
        <w:t>that would result in the pursuance of revocation of supervision</w:t>
      </w:r>
      <w:r w:rsidRPr="00DF7482">
        <w:t xml:space="preserve">, the receiving state shall hold the offender in custody, and the sending state shall, within 15 business days of receipt of the hearing officer’s report, notify the receiving state of the decision to retake or other action to be taken. </w:t>
      </w:r>
    </w:p>
    <w:p w14:paraId="452D086B" w14:textId="6BA8DD4A" w:rsidR="00DF7482" w:rsidRDefault="00DF7482" w:rsidP="005204F5"/>
    <w:p w14:paraId="483E59B7" w14:textId="023352FF" w:rsidR="00DF7482" w:rsidRDefault="00DF7482" w:rsidP="005204F5">
      <w:r>
        <w:t xml:space="preserve">Change of timeline of issuing warrants </w:t>
      </w:r>
      <w:r w:rsidR="000F5509">
        <w:t xml:space="preserve">to 15 business days. Different counties and states may struggle with these changes. We can identity those counties and see where the hold up may be and what the best practices are for them to replicate and resolve any issues. </w:t>
      </w:r>
    </w:p>
    <w:p w14:paraId="0603B17E" w14:textId="56BCF2BC" w:rsidR="000F5509" w:rsidRDefault="000F5509" w:rsidP="005204F5"/>
    <w:p w14:paraId="569FA9B5" w14:textId="09D81BAE" w:rsidR="005204F5" w:rsidRDefault="000F5509" w:rsidP="005204F5">
      <w:r>
        <w:lastRenderedPageBreak/>
        <w:t xml:space="preserve">ICOTS database system will have and enhanced warrant tracking system that Mark will be training on in Jan and inputting Oregon’s information.  </w:t>
      </w:r>
    </w:p>
    <w:p w14:paraId="42AA8607" w14:textId="77777777" w:rsidR="00F61D08" w:rsidRDefault="00F61D08" w:rsidP="005204F5"/>
    <w:p w14:paraId="030FA275" w14:textId="77777777" w:rsidR="00F61D08" w:rsidRPr="005204F5" w:rsidRDefault="00F61D08" w:rsidP="005204F5"/>
    <w:p w14:paraId="463E6722" w14:textId="3D236F48" w:rsidR="005204F5" w:rsidRPr="000F5509" w:rsidRDefault="005204F5" w:rsidP="005204F5">
      <w:pPr>
        <w:rPr>
          <w:b/>
          <w:bCs/>
          <w:u w:val="single"/>
        </w:rPr>
      </w:pPr>
      <w:r w:rsidRPr="000F5509">
        <w:rPr>
          <w:b/>
          <w:bCs/>
          <w:u w:val="single"/>
        </w:rPr>
        <w:t>2022 Annual Business Meeting in New York – 20</w:t>
      </w:r>
      <w:r w:rsidRPr="000F5509">
        <w:rPr>
          <w:b/>
          <w:bCs/>
          <w:u w:val="single"/>
          <w:vertAlign w:val="superscript"/>
        </w:rPr>
        <w:t>th</w:t>
      </w:r>
      <w:r w:rsidRPr="000F5509">
        <w:rPr>
          <w:b/>
          <w:bCs/>
          <w:u w:val="single"/>
        </w:rPr>
        <w:t xml:space="preserve"> Anniversary</w:t>
      </w:r>
    </w:p>
    <w:p w14:paraId="1370DF9F" w14:textId="6C3F8EA8" w:rsidR="000F5509" w:rsidRDefault="000F5509" w:rsidP="005204F5"/>
    <w:p w14:paraId="500EC1A6" w14:textId="0588C5EF" w:rsidR="000F5509" w:rsidRDefault="004044EF" w:rsidP="005204F5">
      <w:r>
        <w:t>-</w:t>
      </w:r>
      <w:r w:rsidR="000F5509">
        <w:t>No emergent rule making foreseeable.</w:t>
      </w:r>
    </w:p>
    <w:p w14:paraId="6AB24D47" w14:textId="6B1E1346" w:rsidR="00156EB1" w:rsidRDefault="004044EF" w:rsidP="005204F5">
      <w:r>
        <w:t>-</w:t>
      </w:r>
      <w:r w:rsidR="000F5509">
        <w:t xml:space="preserve">Development of a documentary on </w:t>
      </w:r>
      <w:r w:rsidR="00156EB1">
        <w:t xml:space="preserve">Interstate Compact. NIC is funding. Oregon will be highlighted. </w:t>
      </w:r>
      <w:r>
        <w:t xml:space="preserve">Could be a      great training instrument. </w:t>
      </w:r>
    </w:p>
    <w:p w14:paraId="3646618C" w14:textId="7BD66022" w:rsidR="00156EB1" w:rsidRPr="005204F5" w:rsidRDefault="004044EF" w:rsidP="005204F5">
      <w:r>
        <w:t>-</w:t>
      </w:r>
      <w:r w:rsidR="00156EB1">
        <w:t xml:space="preserve">Jeremiah before end of term as chair of </w:t>
      </w:r>
      <w:r>
        <w:t>N</w:t>
      </w:r>
      <w:r w:rsidR="00156EB1">
        <w:t xml:space="preserve">ational </w:t>
      </w:r>
      <w:r>
        <w:t>C</w:t>
      </w:r>
      <w:r w:rsidR="00156EB1">
        <w:t>ommission is pushing</w:t>
      </w:r>
      <w:r>
        <w:t xml:space="preserve"> hard</w:t>
      </w:r>
      <w:r w:rsidR="00156EB1">
        <w:t xml:space="preserve"> for compact to recognize </w:t>
      </w:r>
      <w:r>
        <w:t xml:space="preserve">what does it mean for victims to have meaningful engagement in the compact process. Will be a primary presentation  in September. </w:t>
      </w:r>
    </w:p>
    <w:p w14:paraId="2F6631C1" w14:textId="6A32F45B" w:rsidR="005204F5" w:rsidRPr="005204F5" w:rsidRDefault="004044EF" w:rsidP="005204F5">
      <w:r>
        <w:t xml:space="preserve">-Highlights will be around electronic communication, remote hearings, our ability through technology to manage behaviors. </w:t>
      </w:r>
    </w:p>
    <w:p w14:paraId="7E8F8BAE" w14:textId="77777777" w:rsidR="005204F5" w:rsidRPr="005204F5" w:rsidRDefault="005204F5" w:rsidP="005204F5"/>
    <w:p w14:paraId="63EE98DB" w14:textId="77777777" w:rsidR="005204F5" w:rsidRPr="005568C3" w:rsidRDefault="005204F5" w:rsidP="005204F5">
      <w:pPr>
        <w:rPr>
          <w:b/>
          <w:bCs/>
          <w:u w:val="single"/>
        </w:rPr>
      </w:pPr>
      <w:r w:rsidRPr="005568C3">
        <w:rPr>
          <w:b/>
          <w:bCs/>
          <w:u w:val="single"/>
        </w:rPr>
        <w:t>Questions/Discussion</w:t>
      </w:r>
    </w:p>
    <w:p w14:paraId="536AF322" w14:textId="56CD8955" w:rsidR="005204F5" w:rsidRPr="005204F5" w:rsidRDefault="005204F5" w:rsidP="005204F5"/>
    <w:p w14:paraId="48FE3691" w14:textId="0B07EBD7" w:rsidR="005204F5" w:rsidRPr="005204F5" w:rsidRDefault="004044EF" w:rsidP="005204F5">
      <w:r>
        <w:t xml:space="preserve">No questions or concerns. </w:t>
      </w:r>
    </w:p>
    <w:p w14:paraId="7E9833F5" w14:textId="300E3E82" w:rsidR="005204F5" w:rsidRDefault="005204F5" w:rsidP="005204F5">
      <w:pPr>
        <w:rPr>
          <w:sz w:val="20"/>
        </w:rPr>
      </w:pPr>
    </w:p>
    <w:p w14:paraId="2D80C87C" w14:textId="77777777" w:rsidR="005204F5" w:rsidRPr="007101F2" w:rsidRDefault="005204F5" w:rsidP="005204F5">
      <w:pPr>
        <w:rPr>
          <w:sz w:val="20"/>
        </w:rPr>
      </w:pPr>
    </w:p>
    <w:sectPr w:rsidR="005204F5" w:rsidRPr="007101F2" w:rsidSect="00DD54A1">
      <w:footerReference w:type="default" r:id="rId8"/>
      <w:pgSz w:w="12240" w:h="15840"/>
      <w:pgMar w:top="720" w:right="720" w:bottom="720" w:left="72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80BAE" w14:textId="77777777" w:rsidR="00476383" w:rsidRDefault="00476383" w:rsidP="00196EA9">
      <w:r>
        <w:separator/>
      </w:r>
    </w:p>
  </w:endnote>
  <w:endnote w:type="continuationSeparator" w:id="0">
    <w:p w14:paraId="41816A80" w14:textId="77777777" w:rsidR="00476383" w:rsidRDefault="00476383" w:rsidP="0019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430703"/>
      <w:docPartObj>
        <w:docPartGallery w:val="Page Numbers (Bottom of Page)"/>
        <w:docPartUnique/>
      </w:docPartObj>
    </w:sdtPr>
    <w:sdtEndPr/>
    <w:sdtContent>
      <w:sdt>
        <w:sdtPr>
          <w:id w:val="1728636285"/>
          <w:docPartObj>
            <w:docPartGallery w:val="Page Numbers (Top of Page)"/>
            <w:docPartUnique/>
          </w:docPartObj>
        </w:sdtPr>
        <w:sdtEndPr/>
        <w:sdtContent>
          <w:p w14:paraId="14CAF54C" w14:textId="7B5ED6B2" w:rsidR="007D62F9" w:rsidRDefault="007D62F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FD05305" w14:textId="77777777" w:rsidR="007D62F9" w:rsidRDefault="007D6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0F2A1" w14:textId="77777777" w:rsidR="00476383" w:rsidRDefault="00476383" w:rsidP="00196EA9">
      <w:r>
        <w:separator/>
      </w:r>
    </w:p>
  </w:footnote>
  <w:footnote w:type="continuationSeparator" w:id="0">
    <w:p w14:paraId="6B91EB5F" w14:textId="77777777" w:rsidR="00476383" w:rsidRDefault="00476383" w:rsidP="00196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61C5F"/>
    <w:multiLevelType w:val="hybridMultilevel"/>
    <w:tmpl w:val="1090B406"/>
    <w:lvl w:ilvl="0" w:tplc="9E96632C">
      <w:start w:val="20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3A"/>
    <w:rsid w:val="000038C3"/>
    <w:rsid w:val="00005879"/>
    <w:rsid w:val="000069E8"/>
    <w:rsid w:val="000142A3"/>
    <w:rsid w:val="00015C3C"/>
    <w:rsid w:val="00026B0B"/>
    <w:rsid w:val="000341A0"/>
    <w:rsid w:val="00035A9A"/>
    <w:rsid w:val="00073855"/>
    <w:rsid w:val="00076F7D"/>
    <w:rsid w:val="00081263"/>
    <w:rsid w:val="0008522D"/>
    <w:rsid w:val="000A5C5D"/>
    <w:rsid w:val="000C11FD"/>
    <w:rsid w:val="000D1C91"/>
    <w:rsid w:val="000D7570"/>
    <w:rsid w:val="000E31F4"/>
    <w:rsid w:val="000F5509"/>
    <w:rsid w:val="000F5F9B"/>
    <w:rsid w:val="000F622C"/>
    <w:rsid w:val="00100B39"/>
    <w:rsid w:val="00103BE5"/>
    <w:rsid w:val="001134D3"/>
    <w:rsid w:val="00136516"/>
    <w:rsid w:val="00137F97"/>
    <w:rsid w:val="00143609"/>
    <w:rsid w:val="0015247D"/>
    <w:rsid w:val="0015290B"/>
    <w:rsid w:val="00155E11"/>
    <w:rsid w:val="00156EB1"/>
    <w:rsid w:val="00172BA7"/>
    <w:rsid w:val="001967C6"/>
    <w:rsid w:val="00196EA9"/>
    <w:rsid w:val="001A2A35"/>
    <w:rsid w:val="001A610A"/>
    <w:rsid w:val="001C0777"/>
    <w:rsid w:val="001C498D"/>
    <w:rsid w:val="001C7595"/>
    <w:rsid w:val="001D19E2"/>
    <w:rsid w:val="001D2B04"/>
    <w:rsid w:val="001E325E"/>
    <w:rsid w:val="001E6F99"/>
    <w:rsid w:val="001F7741"/>
    <w:rsid w:val="001F7FD6"/>
    <w:rsid w:val="00200CD6"/>
    <w:rsid w:val="00204D04"/>
    <w:rsid w:val="00214605"/>
    <w:rsid w:val="00221AEA"/>
    <w:rsid w:val="00227BA7"/>
    <w:rsid w:val="00232811"/>
    <w:rsid w:val="00235399"/>
    <w:rsid w:val="00244DA8"/>
    <w:rsid w:val="00251FC4"/>
    <w:rsid w:val="00254375"/>
    <w:rsid w:val="00264CAF"/>
    <w:rsid w:val="00275A1B"/>
    <w:rsid w:val="00275BE0"/>
    <w:rsid w:val="002844C8"/>
    <w:rsid w:val="00292A9D"/>
    <w:rsid w:val="00295F76"/>
    <w:rsid w:val="002A4ED2"/>
    <w:rsid w:val="002B24D2"/>
    <w:rsid w:val="002D2A0D"/>
    <w:rsid w:val="002D7B93"/>
    <w:rsid w:val="002E5477"/>
    <w:rsid w:val="002F7862"/>
    <w:rsid w:val="00313243"/>
    <w:rsid w:val="0031485F"/>
    <w:rsid w:val="0031522D"/>
    <w:rsid w:val="0031772D"/>
    <w:rsid w:val="003276FD"/>
    <w:rsid w:val="003578F8"/>
    <w:rsid w:val="00361728"/>
    <w:rsid w:val="00367EA7"/>
    <w:rsid w:val="003765BC"/>
    <w:rsid w:val="00382729"/>
    <w:rsid w:val="00382CC0"/>
    <w:rsid w:val="00387573"/>
    <w:rsid w:val="0039025C"/>
    <w:rsid w:val="00392D62"/>
    <w:rsid w:val="003960DE"/>
    <w:rsid w:val="003A0716"/>
    <w:rsid w:val="003A129C"/>
    <w:rsid w:val="003C4631"/>
    <w:rsid w:val="003D19FF"/>
    <w:rsid w:val="003D4DD6"/>
    <w:rsid w:val="003D5A23"/>
    <w:rsid w:val="003E3036"/>
    <w:rsid w:val="003F7BAB"/>
    <w:rsid w:val="00402384"/>
    <w:rsid w:val="004044EF"/>
    <w:rsid w:val="00412368"/>
    <w:rsid w:val="00437C2F"/>
    <w:rsid w:val="0044039F"/>
    <w:rsid w:val="004507CF"/>
    <w:rsid w:val="004709D7"/>
    <w:rsid w:val="00476383"/>
    <w:rsid w:val="00496B3B"/>
    <w:rsid w:val="004A350D"/>
    <w:rsid w:val="004A4CD1"/>
    <w:rsid w:val="004C00D3"/>
    <w:rsid w:val="004D4446"/>
    <w:rsid w:val="004E4D56"/>
    <w:rsid w:val="0051339C"/>
    <w:rsid w:val="005204F5"/>
    <w:rsid w:val="00531EF6"/>
    <w:rsid w:val="005433A9"/>
    <w:rsid w:val="00543507"/>
    <w:rsid w:val="00555312"/>
    <w:rsid w:val="005568C3"/>
    <w:rsid w:val="00564989"/>
    <w:rsid w:val="00571315"/>
    <w:rsid w:val="005740F4"/>
    <w:rsid w:val="005744EC"/>
    <w:rsid w:val="00584A43"/>
    <w:rsid w:val="005B36FF"/>
    <w:rsid w:val="005C20D4"/>
    <w:rsid w:val="005D0321"/>
    <w:rsid w:val="005D27B6"/>
    <w:rsid w:val="005E5A22"/>
    <w:rsid w:val="005E5B0D"/>
    <w:rsid w:val="005E797D"/>
    <w:rsid w:val="00601318"/>
    <w:rsid w:val="00603DF8"/>
    <w:rsid w:val="00605171"/>
    <w:rsid w:val="00614185"/>
    <w:rsid w:val="00637D80"/>
    <w:rsid w:val="00674C04"/>
    <w:rsid w:val="00675C06"/>
    <w:rsid w:val="00677C8C"/>
    <w:rsid w:val="0068756F"/>
    <w:rsid w:val="0069445F"/>
    <w:rsid w:val="00697AA7"/>
    <w:rsid w:val="006A77F0"/>
    <w:rsid w:val="006B146B"/>
    <w:rsid w:val="006B1C60"/>
    <w:rsid w:val="006B1F98"/>
    <w:rsid w:val="006B6E91"/>
    <w:rsid w:val="006C1319"/>
    <w:rsid w:val="006E5101"/>
    <w:rsid w:val="006E5257"/>
    <w:rsid w:val="006E5C4E"/>
    <w:rsid w:val="007062E6"/>
    <w:rsid w:val="007101F2"/>
    <w:rsid w:val="007269EF"/>
    <w:rsid w:val="007369E9"/>
    <w:rsid w:val="007626D2"/>
    <w:rsid w:val="007762CA"/>
    <w:rsid w:val="00790D9D"/>
    <w:rsid w:val="00795DDC"/>
    <w:rsid w:val="00797785"/>
    <w:rsid w:val="007A1537"/>
    <w:rsid w:val="007A22D2"/>
    <w:rsid w:val="007A699B"/>
    <w:rsid w:val="007B5896"/>
    <w:rsid w:val="007B65D8"/>
    <w:rsid w:val="007C712F"/>
    <w:rsid w:val="007D15D7"/>
    <w:rsid w:val="007D5C7D"/>
    <w:rsid w:val="007D62F9"/>
    <w:rsid w:val="007E32BB"/>
    <w:rsid w:val="007F2169"/>
    <w:rsid w:val="008016F5"/>
    <w:rsid w:val="00806040"/>
    <w:rsid w:val="00806CDB"/>
    <w:rsid w:val="00820315"/>
    <w:rsid w:val="00825687"/>
    <w:rsid w:val="0083258C"/>
    <w:rsid w:val="00834CAF"/>
    <w:rsid w:val="008375F7"/>
    <w:rsid w:val="00842C70"/>
    <w:rsid w:val="00846D7D"/>
    <w:rsid w:val="0085350C"/>
    <w:rsid w:val="00860FF8"/>
    <w:rsid w:val="00865A2F"/>
    <w:rsid w:val="00873464"/>
    <w:rsid w:val="008767FC"/>
    <w:rsid w:val="00886F48"/>
    <w:rsid w:val="008972D3"/>
    <w:rsid w:val="008B31FB"/>
    <w:rsid w:val="008C02AE"/>
    <w:rsid w:val="008C1B4C"/>
    <w:rsid w:val="008C1FB6"/>
    <w:rsid w:val="008D344C"/>
    <w:rsid w:val="008E48A9"/>
    <w:rsid w:val="00900399"/>
    <w:rsid w:val="00911A01"/>
    <w:rsid w:val="00922393"/>
    <w:rsid w:val="009247E8"/>
    <w:rsid w:val="0095169F"/>
    <w:rsid w:val="00952731"/>
    <w:rsid w:val="009610B9"/>
    <w:rsid w:val="00982180"/>
    <w:rsid w:val="00990CD0"/>
    <w:rsid w:val="00991F94"/>
    <w:rsid w:val="009A01C4"/>
    <w:rsid w:val="009A1AF2"/>
    <w:rsid w:val="009B03A8"/>
    <w:rsid w:val="009B3F16"/>
    <w:rsid w:val="009B5435"/>
    <w:rsid w:val="009D2D68"/>
    <w:rsid w:val="009E6024"/>
    <w:rsid w:val="009E61AC"/>
    <w:rsid w:val="009E78EA"/>
    <w:rsid w:val="009F0C12"/>
    <w:rsid w:val="009F1096"/>
    <w:rsid w:val="009F41E7"/>
    <w:rsid w:val="00A041E6"/>
    <w:rsid w:val="00A12675"/>
    <w:rsid w:val="00A20F87"/>
    <w:rsid w:val="00A333F8"/>
    <w:rsid w:val="00A346DD"/>
    <w:rsid w:val="00A46AB2"/>
    <w:rsid w:val="00A53BFF"/>
    <w:rsid w:val="00A60B50"/>
    <w:rsid w:val="00A7023A"/>
    <w:rsid w:val="00A80685"/>
    <w:rsid w:val="00A875AA"/>
    <w:rsid w:val="00A87B0C"/>
    <w:rsid w:val="00A916BD"/>
    <w:rsid w:val="00A97535"/>
    <w:rsid w:val="00AB2A3C"/>
    <w:rsid w:val="00AB540A"/>
    <w:rsid w:val="00B01C62"/>
    <w:rsid w:val="00B0612E"/>
    <w:rsid w:val="00B0766A"/>
    <w:rsid w:val="00B11F95"/>
    <w:rsid w:val="00B1330F"/>
    <w:rsid w:val="00B14697"/>
    <w:rsid w:val="00B365C1"/>
    <w:rsid w:val="00B457C8"/>
    <w:rsid w:val="00B46DCB"/>
    <w:rsid w:val="00B51A51"/>
    <w:rsid w:val="00B56584"/>
    <w:rsid w:val="00B62E2E"/>
    <w:rsid w:val="00B649F8"/>
    <w:rsid w:val="00BA27BD"/>
    <w:rsid w:val="00BA4877"/>
    <w:rsid w:val="00BB56F0"/>
    <w:rsid w:val="00BB5CAE"/>
    <w:rsid w:val="00BC05BB"/>
    <w:rsid w:val="00BC7F79"/>
    <w:rsid w:val="00BE0843"/>
    <w:rsid w:val="00BF4F3F"/>
    <w:rsid w:val="00C32005"/>
    <w:rsid w:val="00C33416"/>
    <w:rsid w:val="00C5468A"/>
    <w:rsid w:val="00C63C90"/>
    <w:rsid w:val="00C63DB0"/>
    <w:rsid w:val="00C730DA"/>
    <w:rsid w:val="00C7470F"/>
    <w:rsid w:val="00C75C27"/>
    <w:rsid w:val="00C83C08"/>
    <w:rsid w:val="00CB5169"/>
    <w:rsid w:val="00CB5E11"/>
    <w:rsid w:val="00CF415A"/>
    <w:rsid w:val="00CF7BA3"/>
    <w:rsid w:val="00D16E41"/>
    <w:rsid w:val="00D20C54"/>
    <w:rsid w:val="00D255B9"/>
    <w:rsid w:val="00D2568B"/>
    <w:rsid w:val="00D27F25"/>
    <w:rsid w:val="00D31ED2"/>
    <w:rsid w:val="00D333F5"/>
    <w:rsid w:val="00D51CA6"/>
    <w:rsid w:val="00D52DF8"/>
    <w:rsid w:val="00D60316"/>
    <w:rsid w:val="00D62D43"/>
    <w:rsid w:val="00D71F46"/>
    <w:rsid w:val="00D7566A"/>
    <w:rsid w:val="00D75F1F"/>
    <w:rsid w:val="00D80BD2"/>
    <w:rsid w:val="00D823B7"/>
    <w:rsid w:val="00D861EC"/>
    <w:rsid w:val="00D869AD"/>
    <w:rsid w:val="00D87E0E"/>
    <w:rsid w:val="00D90C24"/>
    <w:rsid w:val="00D91493"/>
    <w:rsid w:val="00DA2A8E"/>
    <w:rsid w:val="00DA7D16"/>
    <w:rsid w:val="00DB0A1B"/>
    <w:rsid w:val="00DC48DB"/>
    <w:rsid w:val="00DD54A1"/>
    <w:rsid w:val="00DD5B9C"/>
    <w:rsid w:val="00DE1D1D"/>
    <w:rsid w:val="00DE70E4"/>
    <w:rsid w:val="00DF2E3C"/>
    <w:rsid w:val="00DF3881"/>
    <w:rsid w:val="00DF7482"/>
    <w:rsid w:val="00E100F3"/>
    <w:rsid w:val="00E258DF"/>
    <w:rsid w:val="00E25D3E"/>
    <w:rsid w:val="00E30042"/>
    <w:rsid w:val="00E30656"/>
    <w:rsid w:val="00E41897"/>
    <w:rsid w:val="00E42600"/>
    <w:rsid w:val="00E57F4D"/>
    <w:rsid w:val="00E61ABB"/>
    <w:rsid w:val="00E65B17"/>
    <w:rsid w:val="00E719BE"/>
    <w:rsid w:val="00E87F4C"/>
    <w:rsid w:val="00E939E7"/>
    <w:rsid w:val="00EA1386"/>
    <w:rsid w:val="00EA1494"/>
    <w:rsid w:val="00EB2046"/>
    <w:rsid w:val="00EB3234"/>
    <w:rsid w:val="00EB7EB3"/>
    <w:rsid w:val="00EC134B"/>
    <w:rsid w:val="00EC49D5"/>
    <w:rsid w:val="00ED138B"/>
    <w:rsid w:val="00ED17A2"/>
    <w:rsid w:val="00ED41A6"/>
    <w:rsid w:val="00EE0A37"/>
    <w:rsid w:val="00EE225F"/>
    <w:rsid w:val="00EF0D3D"/>
    <w:rsid w:val="00EF770D"/>
    <w:rsid w:val="00F12684"/>
    <w:rsid w:val="00F2110C"/>
    <w:rsid w:val="00F27CD7"/>
    <w:rsid w:val="00F4603A"/>
    <w:rsid w:val="00F61D08"/>
    <w:rsid w:val="00F71066"/>
    <w:rsid w:val="00F71101"/>
    <w:rsid w:val="00F75CD9"/>
    <w:rsid w:val="00F83443"/>
    <w:rsid w:val="00F945A2"/>
    <w:rsid w:val="00F95512"/>
    <w:rsid w:val="00F97140"/>
    <w:rsid w:val="00FA26F0"/>
    <w:rsid w:val="00FB723A"/>
    <w:rsid w:val="00FB7415"/>
    <w:rsid w:val="00FC5F11"/>
    <w:rsid w:val="00FC6E8F"/>
    <w:rsid w:val="00FD7CAE"/>
    <w:rsid w:val="00FE5BF0"/>
    <w:rsid w:val="00FF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FB27C"/>
  <w15:docId w15:val="{49331102-B1AA-4AC3-92C2-8129C20B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4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723A"/>
    <w:rPr>
      <w:color w:val="0000FF"/>
      <w:u w:val="single"/>
    </w:rPr>
  </w:style>
  <w:style w:type="paragraph" w:styleId="BalloonText">
    <w:name w:val="Balloon Text"/>
    <w:basedOn w:val="Normal"/>
    <w:link w:val="BalloonTextChar"/>
    <w:rsid w:val="003D19FF"/>
    <w:rPr>
      <w:rFonts w:ascii="Tahoma" w:hAnsi="Tahoma" w:cs="Tahoma"/>
      <w:sz w:val="16"/>
      <w:szCs w:val="16"/>
    </w:rPr>
  </w:style>
  <w:style w:type="character" w:customStyle="1" w:styleId="BalloonTextChar">
    <w:name w:val="Balloon Text Char"/>
    <w:basedOn w:val="DefaultParagraphFont"/>
    <w:link w:val="BalloonText"/>
    <w:rsid w:val="003D19FF"/>
    <w:rPr>
      <w:rFonts w:ascii="Tahoma" w:hAnsi="Tahoma" w:cs="Tahoma"/>
      <w:sz w:val="16"/>
      <w:szCs w:val="16"/>
    </w:rPr>
  </w:style>
  <w:style w:type="paragraph" w:styleId="Header">
    <w:name w:val="header"/>
    <w:basedOn w:val="Normal"/>
    <w:link w:val="HeaderChar"/>
    <w:rsid w:val="00196EA9"/>
    <w:pPr>
      <w:tabs>
        <w:tab w:val="center" w:pos="4680"/>
        <w:tab w:val="right" w:pos="9360"/>
      </w:tabs>
    </w:pPr>
  </w:style>
  <w:style w:type="character" w:customStyle="1" w:styleId="HeaderChar">
    <w:name w:val="Header Char"/>
    <w:basedOn w:val="DefaultParagraphFont"/>
    <w:link w:val="Header"/>
    <w:rsid w:val="00196EA9"/>
    <w:rPr>
      <w:sz w:val="24"/>
      <w:szCs w:val="24"/>
    </w:rPr>
  </w:style>
  <w:style w:type="paragraph" w:styleId="Footer">
    <w:name w:val="footer"/>
    <w:basedOn w:val="Normal"/>
    <w:link w:val="FooterChar"/>
    <w:uiPriority w:val="99"/>
    <w:rsid w:val="00196EA9"/>
    <w:pPr>
      <w:tabs>
        <w:tab w:val="center" w:pos="4680"/>
        <w:tab w:val="right" w:pos="9360"/>
      </w:tabs>
    </w:pPr>
  </w:style>
  <w:style w:type="character" w:customStyle="1" w:styleId="FooterChar">
    <w:name w:val="Footer Char"/>
    <w:basedOn w:val="DefaultParagraphFont"/>
    <w:link w:val="Footer"/>
    <w:uiPriority w:val="99"/>
    <w:rsid w:val="00196EA9"/>
    <w:rPr>
      <w:sz w:val="24"/>
      <w:szCs w:val="24"/>
    </w:rPr>
  </w:style>
  <w:style w:type="character" w:styleId="CommentReference">
    <w:name w:val="annotation reference"/>
    <w:basedOn w:val="DefaultParagraphFont"/>
    <w:semiHidden/>
    <w:unhideWhenUsed/>
    <w:rsid w:val="00601318"/>
    <w:rPr>
      <w:sz w:val="16"/>
      <w:szCs w:val="16"/>
    </w:rPr>
  </w:style>
  <w:style w:type="paragraph" w:styleId="CommentText">
    <w:name w:val="annotation text"/>
    <w:basedOn w:val="Normal"/>
    <w:link w:val="CommentTextChar"/>
    <w:semiHidden/>
    <w:unhideWhenUsed/>
    <w:rsid w:val="00601318"/>
    <w:rPr>
      <w:sz w:val="20"/>
      <w:szCs w:val="20"/>
    </w:rPr>
  </w:style>
  <w:style w:type="character" w:customStyle="1" w:styleId="CommentTextChar">
    <w:name w:val="Comment Text Char"/>
    <w:basedOn w:val="DefaultParagraphFont"/>
    <w:link w:val="CommentText"/>
    <w:semiHidden/>
    <w:rsid w:val="00601318"/>
  </w:style>
  <w:style w:type="paragraph" w:styleId="CommentSubject">
    <w:name w:val="annotation subject"/>
    <w:basedOn w:val="CommentText"/>
    <w:next w:val="CommentText"/>
    <w:link w:val="CommentSubjectChar"/>
    <w:semiHidden/>
    <w:unhideWhenUsed/>
    <w:rsid w:val="00601318"/>
    <w:rPr>
      <w:b/>
      <w:bCs/>
    </w:rPr>
  </w:style>
  <w:style w:type="character" w:customStyle="1" w:styleId="CommentSubjectChar">
    <w:name w:val="Comment Subject Char"/>
    <w:basedOn w:val="CommentTextChar"/>
    <w:link w:val="CommentSubject"/>
    <w:semiHidden/>
    <w:rsid w:val="00601318"/>
    <w:rPr>
      <w:b/>
      <w:bCs/>
    </w:rPr>
  </w:style>
  <w:style w:type="paragraph" w:styleId="Revision">
    <w:name w:val="Revision"/>
    <w:hidden/>
    <w:uiPriority w:val="99"/>
    <w:semiHidden/>
    <w:rsid w:val="00076F7D"/>
    <w:rPr>
      <w:sz w:val="24"/>
      <w:szCs w:val="24"/>
    </w:rPr>
  </w:style>
  <w:style w:type="character" w:styleId="UnresolvedMention">
    <w:name w:val="Unresolved Mention"/>
    <w:basedOn w:val="DefaultParagraphFont"/>
    <w:uiPriority w:val="99"/>
    <w:semiHidden/>
    <w:unhideWhenUsed/>
    <w:rsid w:val="00E30656"/>
    <w:rPr>
      <w:color w:val="605E5C"/>
      <w:shd w:val="clear" w:color="auto" w:fill="E1DFDD"/>
    </w:rPr>
  </w:style>
  <w:style w:type="table" w:styleId="TableGrid">
    <w:name w:val="Table Grid"/>
    <w:basedOn w:val="TableNormal"/>
    <w:rsid w:val="00D8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02888">
      <w:bodyDiv w:val="1"/>
      <w:marLeft w:val="0"/>
      <w:marRight w:val="0"/>
      <w:marTop w:val="0"/>
      <w:marBottom w:val="0"/>
      <w:divBdr>
        <w:top w:val="none" w:sz="0" w:space="0" w:color="auto"/>
        <w:left w:val="none" w:sz="0" w:space="0" w:color="auto"/>
        <w:bottom w:val="none" w:sz="0" w:space="0" w:color="auto"/>
        <w:right w:val="none" w:sz="0" w:space="0" w:color="auto"/>
      </w:divBdr>
    </w:div>
    <w:div w:id="292295796">
      <w:bodyDiv w:val="1"/>
      <w:marLeft w:val="0"/>
      <w:marRight w:val="0"/>
      <w:marTop w:val="0"/>
      <w:marBottom w:val="0"/>
      <w:divBdr>
        <w:top w:val="none" w:sz="0" w:space="0" w:color="auto"/>
        <w:left w:val="none" w:sz="0" w:space="0" w:color="auto"/>
        <w:bottom w:val="none" w:sz="0" w:space="0" w:color="auto"/>
        <w:right w:val="none" w:sz="0" w:space="0" w:color="auto"/>
      </w:divBdr>
    </w:div>
    <w:div w:id="950666894">
      <w:bodyDiv w:val="1"/>
      <w:marLeft w:val="0"/>
      <w:marRight w:val="0"/>
      <w:marTop w:val="0"/>
      <w:marBottom w:val="0"/>
      <w:divBdr>
        <w:top w:val="none" w:sz="0" w:space="0" w:color="auto"/>
        <w:left w:val="none" w:sz="0" w:space="0" w:color="auto"/>
        <w:bottom w:val="none" w:sz="0" w:space="0" w:color="auto"/>
        <w:right w:val="none" w:sz="0" w:space="0" w:color="auto"/>
      </w:divBdr>
    </w:div>
    <w:div w:id="1010331111">
      <w:bodyDiv w:val="1"/>
      <w:marLeft w:val="240"/>
      <w:marRight w:val="240"/>
      <w:marTop w:val="240"/>
      <w:marBottom w:val="60"/>
      <w:divBdr>
        <w:top w:val="none" w:sz="0" w:space="0" w:color="auto"/>
        <w:left w:val="none" w:sz="0" w:space="0" w:color="auto"/>
        <w:bottom w:val="none" w:sz="0" w:space="0" w:color="auto"/>
        <w:right w:val="none" w:sz="0" w:space="0" w:color="auto"/>
      </w:divBdr>
    </w:div>
    <w:div w:id="1138452140">
      <w:bodyDiv w:val="1"/>
      <w:marLeft w:val="0"/>
      <w:marRight w:val="0"/>
      <w:marTop w:val="0"/>
      <w:marBottom w:val="0"/>
      <w:divBdr>
        <w:top w:val="none" w:sz="0" w:space="0" w:color="auto"/>
        <w:left w:val="none" w:sz="0" w:space="0" w:color="auto"/>
        <w:bottom w:val="none" w:sz="0" w:space="0" w:color="auto"/>
        <w:right w:val="none" w:sz="0" w:space="0" w:color="auto"/>
      </w:divBdr>
    </w:div>
    <w:div w:id="1150248999">
      <w:bodyDiv w:val="1"/>
      <w:marLeft w:val="0"/>
      <w:marRight w:val="0"/>
      <w:marTop w:val="0"/>
      <w:marBottom w:val="0"/>
      <w:divBdr>
        <w:top w:val="none" w:sz="0" w:space="0" w:color="auto"/>
        <w:left w:val="none" w:sz="0" w:space="0" w:color="auto"/>
        <w:bottom w:val="none" w:sz="0" w:space="0" w:color="auto"/>
        <w:right w:val="none" w:sz="0" w:space="0" w:color="auto"/>
      </w:divBdr>
    </w:div>
    <w:div w:id="1671717260">
      <w:bodyDiv w:val="1"/>
      <w:marLeft w:val="0"/>
      <w:marRight w:val="0"/>
      <w:marTop w:val="0"/>
      <w:marBottom w:val="0"/>
      <w:divBdr>
        <w:top w:val="none" w:sz="0" w:space="0" w:color="auto"/>
        <w:left w:val="none" w:sz="0" w:space="0" w:color="auto"/>
        <w:bottom w:val="none" w:sz="0" w:space="0" w:color="auto"/>
        <w:right w:val="none" w:sz="0" w:space="0" w:color="auto"/>
      </w:divBdr>
    </w:div>
    <w:div w:id="1726757410">
      <w:bodyDiv w:val="1"/>
      <w:marLeft w:val="240"/>
      <w:marRight w:val="240"/>
      <w:marTop w:val="240"/>
      <w:marBottom w:val="60"/>
      <w:divBdr>
        <w:top w:val="none" w:sz="0" w:space="0" w:color="auto"/>
        <w:left w:val="none" w:sz="0" w:space="0" w:color="auto"/>
        <w:bottom w:val="none" w:sz="0" w:space="0" w:color="auto"/>
        <w:right w:val="none" w:sz="0" w:space="0" w:color="auto"/>
      </w:divBdr>
    </w:div>
    <w:div w:id="1740515227">
      <w:bodyDiv w:val="1"/>
      <w:marLeft w:val="0"/>
      <w:marRight w:val="0"/>
      <w:marTop w:val="0"/>
      <w:marBottom w:val="0"/>
      <w:divBdr>
        <w:top w:val="none" w:sz="0" w:space="0" w:color="auto"/>
        <w:left w:val="none" w:sz="0" w:space="0" w:color="auto"/>
        <w:bottom w:val="none" w:sz="0" w:space="0" w:color="auto"/>
        <w:right w:val="none" w:sz="0" w:space="0" w:color="auto"/>
      </w:divBdr>
    </w:div>
    <w:div w:id="18327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570DC-D2F4-4FB7-BFF9-820BC7BD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4092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FAUG AGENDA</vt:lpstr>
    </vt:vector>
  </TitlesOfParts>
  <Company>Polk County</Company>
  <LinksUpToDate>false</LinksUpToDate>
  <CharactersWithSpaces>4762</CharactersWithSpaces>
  <SharedDoc>false</SharedDoc>
  <HLinks>
    <vt:vector size="6" baseType="variant">
      <vt:variant>
        <vt:i4>5046364</vt:i4>
      </vt:variant>
      <vt:variant>
        <vt:i4>0</vt:i4>
      </vt:variant>
      <vt:variant>
        <vt:i4>0</vt:i4>
      </vt:variant>
      <vt:variant>
        <vt:i4>5</vt:i4>
      </vt:variant>
      <vt:variant>
        <vt:lpwstr>http://www.svfr.org/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FAUG AGENDA</dc:title>
  <dc:creator>boyera</dc:creator>
  <cp:lastModifiedBy>PATTERSON Mark G * DOC</cp:lastModifiedBy>
  <cp:revision>2</cp:revision>
  <cp:lastPrinted>2019-08-05T22:53:00Z</cp:lastPrinted>
  <dcterms:created xsi:type="dcterms:W3CDTF">2021-12-15T22:32:00Z</dcterms:created>
  <dcterms:modified xsi:type="dcterms:W3CDTF">2021-12-15T22:32:00Z</dcterms:modified>
</cp:coreProperties>
</file>