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FBC0" w14:textId="77777777" w:rsidR="005204F5" w:rsidRDefault="005204F5" w:rsidP="005204F5">
      <w:pPr>
        <w:jc w:val="center"/>
        <w:rPr>
          <w:sz w:val="40"/>
          <w:szCs w:val="40"/>
        </w:rPr>
      </w:pPr>
    </w:p>
    <w:p w14:paraId="5A4E2C01" w14:textId="7E06D06E" w:rsidR="005204F5" w:rsidRDefault="005204F5" w:rsidP="005204F5">
      <w:pPr>
        <w:jc w:val="center"/>
        <w:rPr>
          <w:sz w:val="40"/>
          <w:szCs w:val="40"/>
        </w:rPr>
      </w:pPr>
      <w:r w:rsidRPr="005204F5">
        <w:rPr>
          <w:sz w:val="40"/>
          <w:szCs w:val="40"/>
        </w:rPr>
        <w:t>Oregon Interstate Compact State Council Meeting</w:t>
      </w:r>
    </w:p>
    <w:p w14:paraId="3A6CA270" w14:textId="14233FF1" w:rsidR="00FB723A" w:rsidRPr="005204F5" w:rsidRDefault="00EC2283" w:rsidP="00FB723A">
      <w:pPr>
        <w:jc w:val="center"/>
        <w:rPr>
          <w:b/>
        </w:rPr>
      </w:pPr>
      <w:r>
        <w:rPr>
          <w:b/>
        </w:rPr>
        <w:t>November 29</w:t>
      </w:r>
      <w:r w:rsidR="00E65B17" w:rsidRPr="005204F5">
        <w:rPr>
          <w:b/>
        </w:rPr>
        <w:t xml:space="preserve">, </w:t>
      </w:r>
      <w:r w:rsidRPr="005204F5">
        <w:rPr>
          <w:b/>
        </w:rPr>
        <w:t>202</w:t>
      </w:r>
      <w:r>
        <w:rPr>
          <w:b/>
        </w:rPr>
        <w:t>2</w:t>
      </w:r>
      <w:r w:rsidR="005B36FF" w:rsidRPr="005204F5">
        <w:rPr>
          <w:b/>
        </w:rPr>
        <w:t xml:space="preserve">   </w:t>
      </w:r>
      <w:r w:rsidR="005204F5" w:rsidRPr="005204F5">
        <w:rPr>
          <w:b/>
        </w:rPr>
        <w:t>10:00 – 11:30am</w:t>
      </w:r>
    </w:p>
    <w:p w14:paraId="74A07FBF" w14:textId="77777777" w:rsidR="00DD54A1" w:rsidRPr="005204F5" w:rsidRDefault="00DD54A1" w:rsidP="00FB723A">
      <w:pPr>
        <w:jc w:val="center"/>
        <w:rPr>
          <w:b/>
        </w:rPr>
      </w:pPr>
    </w:p>
    <w:p w14:paraId="4C51BE9E" w14:textId="77777777" w:rsidR="00FB723A" w:rsidRPr="005204F5" w:rsidRDefault="00FB723A" w:rsidP="00FB723A">
      <w:pPr>
        <w:jc w:val="center"/>
        <w:rPr>
          <w:b/>
          <w:u w:val="single"/>
        </w:rPr>
      </w:pPr>
      <w:r w:rsidRPr="005204F5">
        <w:rPr>
          <w:b/>
          <w:u w:val="single"/>
        </w:rPr>
        <w:t>MEETING LOCATION:</w:t>
      </w:r>
    </w:p>
    <w:p w14:paraId="770A9387" w14:textId="7CB24100" w:rsidR="00035A9A" w:rsidRPr="005204F5" w:rsidRDefault="005204F5" w:rsidP="00035A9A">
      <w:pPr>
        <w:jc w:val="center"/>
        <w:rPr>
          <w:sz w:val="22"/>
          <w:szCs w:val="22"/>
        </w:rPr>
      </w:pPr>
      <w:r w:rsidRPr="005204F5">
        <w:rPr>
          <w:sz w:val="22"/>
          <w:szCs w:val="22"/>
        </w:rPr>
        <w:t>MS Team Video Conference</w:t>
      </w:r>
    </w:p>
    <w:p w14:paraId="71C6E444" w14:textId="77777777" w:rsidR="00A12675" w:rsidRPr="00DD54A1" w:rsidRDefault="00A12675" w:rsidP="00FB723A"/>
    <w:p w14:paraId="1C721A0A" w14:textId="47D644AE" w:rsidR="00254375" w:rsidRPr="005204F5" w:rsidRDefault="005204F5" w:rsidP="00254375">
      <w:pPr>
        <w:jc w:val="center"/>
        <w:rPr>
          <w:sz w:val="22"/>
          <w:szCs w:val="22"/>
        </w:rPr>
      </w:pPr>
      <w:r w:rsidRPr="005204F5">
        <w:rPr>
          <w:sz w:val="22"/>
          <w:szCs w:val="22"/>
        </w:rPr>
        <w:t>Attendees</w:t>
      </w:r>
      <w:r w:rsidR="00254375">
        <w:rPr>
          <w:sz w:val="22"/>
          <w:szCs w:val="22"/>
        </w:rPr>
        <w:t xml:space="preserve">  </w:t>
      </w:r>
    </w:p>
    <w:p w14:paraId="1AD192A4" w14:textId="74F36C66" w:rsidR="005204F5" w:rsidRDefault="005204F5" w:rsidP="007101F2">
      <w:pPr>
        <w:jc w:val="center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1350"/>
        <w:gridCol w:w="3510"/>
      </w:tblGrid>
      <w:tr w:rsidR="00D87E0E" w:rsidRPr="00D87E0E" w14:paraId="6D878AB0" w14:textId="77777777" w:rsidTr="00513B07">
        <w:trPr>
          <w:jc w:val="center"/>
        </w:trPr>
        <w:tc>
          <w:tcPr>
            <w:tcW w:w="2965" w:type="dxa"/>
          </w:tcPr>
          <w:p w14:paraId="39A58038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Name</w:t>
            </w:r>
          </w:p>
        </w:tc>
        <w:tc>
          <w:tcPr>
            <w:tcW w:w="1350" w:type="dxa"/>
          </w:tcPr>
          <w:p w14:paraId="1D34AC6D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Title</w:t>
            </w:r>
          </w:p>
        </w:tc>
        <w:tc>
          <w:tcPr>
            <w:tcW w:w="3510" w:type="dxa"/>
          </w:tcPr>
          <w:p w14:paraId="08C7A166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Representing</w:t>
            </w:r>
          </w:p>
        </w:tc>
      </w:tr>
      <w:tr w:rsidR="00D87E0E" w:rsidRPr="00D87E0E" w14:paraId="1EFB501F" w14:textId="77777777" w:rsidTr="00513B07">
        <w:trPr>
          <w:jc w:val="center"/>
        </w:trPr>
        <w:tc>
          <w:tcPr>
            <w:tcW w:w="2965" w:type="dxa"/>
          </w:tcPr>
          <w:p w14:paraId="03E06A77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Stromberg, Jeremiah</w:t>
            </w:r>
          </w:p>
        </w:tc>
        <w:tc>
          <w:tcPr>
            <w:tcW w:w="1350" w:type="dxa"/>
          </w:tcPr>
          <w:p w14:paraId="536119B1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Chair</w:t>
            </w:r>
          </w:p>
        </w:tc>
        <w:tc>
          <w:tcPr>
            <w:tcW w:w="3510" w:type="dxa"/>
          </w:tcPr>
          <w:p w14:paraId="4F23798F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Commissioner</w:t>
            </w:r>
          </w:p>
        </w:tc>
      </w:tr>
      <w:tr w:rsidR="00D87E0E" w:rsidRPr="00D87E0E" w14:paraId="1D3F42D1" w14:textId="77777777" w:rsidTr="00513B07">
        <w:trPr>
          <w:jc w:val="center"/>
        </w:trPr>
        <w:tc>
          <w:tcPr>
            <w:tcW w:w="2965" w:type="dxa"/>
          </w:tcPr>
          <w:p w14:paraId="2A3D81B1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 xml:space="preserve">Patterson, Mark </w:t>
            </w:r>
          </w:p>
        </w:tc>
        <w:tc>
          <w:tcPr>
            <w:tcW w:w="1350" w:type="dxa"/>
          </w:tcPr>
          <w:p w14:paraId="14A52145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Vice-Chair</w:t>
            </w:r>
          </w:p>
        </w:tc>
        <w:tc>
          <w:tcPr>
            <w:tcW w:w="3510" w:type="dxa"/>
          </w:tcPr>
          <w:p w14:paraId="1DFA0FDD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DCA</w:t>
            </w:r>
          </w:p>
        </w:tc>
      </w:tr>
      <w:tr w:rsidR="00D87E0E" w:rsidRPr="00D87E0E" w14:paraId="0B300775" w14:textId="77777777" w:rsidTr="00513B07">
        <w:trPr>
          <w:jc w:val="center"/>
        </w:trPr>
        <w:tc>
          <w:tcPr>
            <w:tcW w:w="2965" w:type="dxa"/>
          </w:tcPr>
          <w:p w14:paraId="1EF301E0" w14:textId="19B40B54" w:rsidR="00D87E0E" w:rsidRPr="00E6140F" w:rsidRDefault="00E6140F" w:rsidP="00E6140F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>*</w:t>
            </w:r>
            <w:r w:rsidR="00EC2283" w:rsidRPr="00E6140F">
              <w:rPr>
                <w:sz w:val="20"/>
              </w:rPr>
              <w:t>Becker, Megan</w:t>
            </w:r>
          </w:p>
        </w:tc>
        <w:tc>
          <w:tcPr>
            <w:tcW w:w="1350" w:type="dxa"/>
          </w:tcPr>
          <w:p w14:paraId="6B9BBFD2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Secretary</w:t>
            </w:r>
          </w:p>
        </w:tc>
        <w:tc>
          <w:tcPr>
            <w:tcW w:w="3510" w:type="dxa"/>
          </w:tcPr>
          <w:p w14:paraId="511AC623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Support</w:t>
            </w:r>
          </w:p>
        </w:tc>
      </w:tr>
      <w:tr w:rsidR="00D87E0E" w:rsidRPr="00D87E0E" w14:paraId="4D76E30E" w14:textId="77777777" w:rsidTr="00513B07">
        <w:trPr>
          <w:jc w:val="center"/>
        </w:trPr>
        <w:tc>
          <w:tcPr>
            <w:tcW w:w="2965" w:type="dxa"/>
          </w:tcPr>
          <w:p w14:paraId="4C9AC5B5" w14:textId="5C7A281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Berry, Brad</w:t>
            </w:r>
          </w:p>
        </w:tc>
        <w:tc>
          <w:tcPr>
            <w:tcW w:w="1350" w:type="dxa"/>
          </w:tcPr>
          <w:p w14:paraId="689F7F0D" w14:textId="77777777" w:rsidR="00D87E0E" w:rsidRPr="00D87E0E" w:rsidRDefault="00D87E0E" w:rsidP="00D87E0E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</w:tcPr>
          <w:p w14:paraId="49DA0ECE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District Attorney</w:t>
            </w:r>
          </w:p>
        </w:tc>
      </w:tr>
      <w:tr w:rsidR="00D87E0E" w:rsidRPr="00D87E0E" w14:paraId="1A7F794E" w14:textId="77777777" w:rsidTr="00513B07">
        <w:trPr>
          <w:jc w:val="center"/>
        </w:trPr>
        <w:tc>
          <w:tcPr>
            <w:tcW w:w="2965" w:type="dxa"/>
          </w:tcPr>
          <w:p w14:paraId="64F17157" w14:textId="3E49065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Judge Kelly Skye</w:t>
            </w:r>
          </w:p>
        </w:tc>
        <w:tc>
          <w:tcPr>
            <w:tcW w:w="1350" w:type="dxa"/>
          </w:tcPr>
          <w:p w14:paraId="1D960DF8" w14:textId="77777777" w:rsidR="00D87E0E" w:rsidRPr="00D87E0E" w:rsidRDefault="00D87E0E" w:rsidP="00D87E0E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</w:tcPr>
          <w:p w14:paraId="20A2A422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Judicial</w:t>
            </w:r>
          </w:p>
        </w:tc>
      </w:tr>
      <w:tr w:rsidR="00D87E0E" w:rsidRPr="00D87E0E" w14:paraId="13FDE03D" w14:textId="77777777" w:rsidTr="00513B07">
        <w:trPr>
          <w:jc w:val="center"/>
        </w:trPr>
        <w:tc>
          <w:tcPr>
            <w:tcW w:w="2965" w:type="dxa"/>
          </w:tcPr>
          <w:p w14:paraId="275D6DB8" w14:textId="5560D252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Townsend, Nicole</w:t>
            </w:r>
          </w:p>
        </w:tc>
        <w:tc>
          <w:tcPr>
            <w:tcW w:w="1350" w:type="dxa"/>
          </w:tcPr>
          <w:p w14:paraId="4646F127" w14:textId="77777777" w:rsidR="00D87E0E" w:rsidRPr="00D87E0E" w:rsidRDefault="00D87E0E" w:rsidP="00D87E0E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</w:tcPr>
          <w:p w14:paraId="2A9E3FAF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Governor’s Appointment</w:t>
            </w:r>
          </w:p>
        </w:tc>
      </w:tr>
      <w:tr w:rsidR="00D87E0E" w:rsidRPr="00D87E0E" w14:paraId="69161C03" w14:textId="77777777" w:rsidTr="00513B07">
        <w:trPr>
          <w:jc w:val="center"/>
        </w:trPr>
        <w:tc>
          <w:tcPr>
            <w:tcW w:w="2965" w:type="dxa"/>
          </w:tcPr>
          <w:p w14:paraId="0D903877" w14:textId="7E717711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Chrisemer, Annette</w:t>
            </w:r>
          </w:p>
        </w:tc>
        <w:tc>
          <w:tcPr>
            <w:tcW w:w="1350" w:type="dxa"/>
          </w:tcPr>
          <w:p w14:paraId="70D2D876" w14:textId="77777777" w:rsidR="00D87E0E" w:rsidRPr="00D87E0E" w:rsidRDefault="00D87E0E" w:rsidP="00D87E0E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</w:tcPr>
          <w:p w14:paraId="63C71FA6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Victim Representative</w:t>
            </w:r>
          </w:p>
        </w:tc>
      </w:tr>
      <w:tr w:rsidR="00D87E0E" w:rsidRPr="00D87E0E" w14:paraId="44D50566" w14:textId="77777777" w:rsidTr="00513B07">
        <w:trPr>
          <w:jc w:val="center"/>
        </w:trPr>
        <w:tc>
          <w:tcPr>
            <w:tcW w:w="2965" w:type="dxa"/>
          </w:tcPr>
          <w:p w14:paraId="455829B6" w14:textId="01852C72" w:rsidR="00D87E0E" w:rsidRPr="00D87E0E" w:rsidRDefault="004F036B" w:rsidP="00D87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D87E0E" w:rsidRPr="00D87E0E">
              <w:rPr>
                <w:sz w:val="20"/>
              </w:rPr>
              <w:t>Senator Floyd Prozanski</w:t>
            </w:r>
          </w:p>
        </w:tc>
        <w:tc>
          <w:tcPr>
            <w:tcW w:w="1350" w:type="dxa"/>
          </w:tcPr>
          <w:p w14:paraId="6245107E" w14:textId="77777777" w:rsidR="00D87E0E" w:rsidRPr="00D87E0E" w:rsidRDefault="00D87E0E" w:rsidP="00D87E0E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</w:tcPr>
          <w:p w14:paraId="0E96A8C3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Senate Appointment</w:t>
            </w:r>
          </w:p>
        </w:tc>
      </w:tr>
      <w:tr w:rsidR="00D87E0E" w:rsidRPr="00D87E0E" w14:paraId="768819FF" w14:textId="77777777" w:rsidTr="00513B07">
        <w:trPr>
          <w:jc w:val="center"/>
        </w:trPr>
        <w:tc>
          <w:tcPr>
            <w:tcW w:w="2965" w:type="dxa"/>
          </w:tcPr>
          <w:p w14:paraId="7026D49E" w14:textId="119A9B83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Potter, Tina</w:t>
            </w:r>
          </w:p>
        </w:tc>
        <w:tc>
          <w:tcPr>
            <w:tcW w:w="1350" w:type="dxa"/>
          </w:tcPr>
          <w:p w14:paraId="1CB7A876" w14:textId="77777777" w:rsidR="00D87E0E" w:rsidRPr="00D87E0E" w:rsidRDefault="00D87E0E" w:rsidP="00D87E0E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</w:tcPr>
          <w:p w14:paraId="4CC68278" w14:textId="62689AA0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 xml:space="preserve">OACCD, Tri County </w:t>
            </w:r>
          </w:p>
        </w:tc>
      </w:tr>
      <w:tr w:rsidR="00D87E0E" w:rsidRPr="00D87E0E" w14:paraId="45DB9A3D" w14:textId="77777777" w:rsidTr="00513B07">
        <w:trPr>
          <w:jc w:val="center"/>
        </w:trPr>
        <w:tc>
          <w:tcPr>
            <w:tcW w:w="2965" w:type="dxa"/>
          </w:tcPr>
          <w:p w14:paraId="5E5A34C2" w14:textId="734CA14A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Greer, Jake</w:t>
            </w:r>
          </w:p>
        </w:tc>
        <w:tc>
          <w:tcPr>
            <w:tcW w:w="1350" w:type="dxa"/>
          </w:tcPr>
          <w:p w14:paraId="45A6F0AF" w14:textId="77777777" w:rsidR="00D87E0E" w:rsidRPr="00D87E0E" w:rsidRDefault="00D87E0E" w:rsidP="00D87E0E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</w:tcPr>
          <w:p w14:paraId="306C4D3B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OACCD, Lake Co Director</w:t>
            </w:r>
          </w:p>
        </w:tc>
      </w:tr>
      <w:tr w:rsidR="00D87E0E" w:rsidRPr="00D87E0E" w14:paraId="7B7872E1" w14:textId="77777777" w:rsidTr="00513B07">
        <w:trPr>
          <w:jc w:val="center"/>
        </w:trPr>
        <w:tc>
          <w:tcPr>
            <w:tcW w:w="2965" w:type="dxa"/>
          </w:tcPr>
          <w:p w14:paraId="14B8ECC8" w14:textId="1551BAA5" w:rsidR="00D87E0E" w:rsidRPr="004F036B" w:rsidRDefault="004F036B" w:rsidP="004F036B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>*</w:t>
            </w:r>
            <w:r w:rsidR="00D87E0E" w:rsidRPr="004F036B">
              <w:rPr>
                <w:sz w:val="20"/>
              </w:rPr>
              <w:t xml:space="preserve">Severe, Constantin </w:t>
            </w:r>
          </w:p>
        </w:tc>
        <w:tc>
          <w:tcPr>
            <w:tcW w:w="1350" w:type="dxa"/>
          </w:tcPr>
          <w:p w14:paraId="1560673C" w14:textId="77777777" w:rsidR="00D87E0E" w:rsidRPr="00D87E0E" w:rsidRDefault="00D87E0E" w:rsidP="00D87E0E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</w:tcPr>
          <w:p w14:paraId="2E653394" w14:textId="77777777" w:rsidR="00D87E0E" w:rsidRPr="00D87E0E" w:rsidRDefault="00D87E0E" w:rsidP="00D87E0E">
            <w:pPr>
              <w:jc w:val="center"/>
              <w:rPr>
                <w:sz w:val="20"/>
              </w:rPr>
            </w:pPr>
            <w:r w:rsidRPr="00D87E0E">
              <w:rPr>
                <w:sz w:val="20"/>
              </w:rPr>
              <w:t>Governor’s Appointment</w:t>
            </w:r>
          </w:p>
        </w:tc>
      </w:tr>
      <w:tr w:rsidR="00EC2283" w:rsidRPr="00D87E0E" w14:paraId="32D4F128" w14:textId="77777777" w:rsidTr="00513B07">
        <w:trPr>
          <w:jc w:val="center"/>
        </w:trPr>
        <w:tc>
          <w:tcPr>
            <w:tcW w:w="2965" w:type="dxa"/>
          </w:tcPr>
          <w:p w14:paraId="34EC6E75" w14:textId="5FC50057" w:rsidR="00EC2283" w:rsidRPr="00D87E0E" w:rsidRDefault="00EC2283" w:rsidP="00D87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Belli, Nina</w:t>
            </w:r>
          </w:p>
        </w:tc>
        <w:tc>
          <w:tcPr>
            <w:tcW w:w="1350" w:type="dxa"/>
          </w:tcPr>
          <w:p w14:paraId="6D565D10" w14:textId="77777777" w:rsidR="00EC2283" w:rsidRPr="00D87E0E" w:rsidRDefault="00EC2283" w:rsidP="00D87E0E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</w:tcPr>
          <w:p w14:paraId="253D117F" w14:textId="0F5F3367" w:rsidR="00EC2283" w:rsidRPr="00D87E0E" w:rsidRDefault="00E6140F" w:rsidP="00E6140F">
            <w:pPr>
              <w:rPr>
                <w:sz w:val="20"/>
              </w:rPr>
            </w:pPr>
            <w:r>
              <w:rPr>
                <w:sz w:val="20"/>
              </w:rPr>
              <w:t xml:space="preserve">       Juvenile Compact Commissioner</w:t>
            </w:r>
          </w:p>
        </w:tc>
      </w:tr>
      <w:tr w:rsidR="003E6902" w:rsidRPr="00D87E0E" w14:paraId="14009E8F" w14:textId="77777777" w:rsidTr="00513B07">
        <w:trPr>
          <w:jc w:val="center"/>
        </w:trPr>
        <w:tc>
          <w:tcPr>
            <w:tcW w:w="2965" w:type="dxa"/>
          </w:tcPr>
          <w:p w14:paraId="3DCD5125" w14:textId="5DD496A2" w:rsidR="003E6902" w:rsidRDefault="003E6902" w:rsidP="00D87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Alder, Charles</w:t>
            </w:r>
          </w:p>
        </w:tc>
        <w:tc>
          <w:tcPr>
            <w:tcW w:w="1350" w:type="dxa"/>
          </w:tcPr>
          <w:p w14:paraId="08AECAA4" w14:textId="77777777" w:rsidR="003E6902" w:rsidRPr="00D87E0E" w:rsidRDefault="003E6902" w:rsidP="00D87E0E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</w:tcPr>
          <w:p w14:paraId="34A0B305" w14:textId="00D6C9EB" w:rsidR="003E6902" w:rsidRDefault="00E6140F" w:rsidP="00D87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OACCD, Multnomah Co</w:t>
            </w:r>
          </w:p>
        </w:tc>
      </w:tr>
    </w:tbl>
    <w:p w14:paraId="3992888E" w14:textId="4708ECBB" w:rsidR="005204F5" w:rsidRDefault="005204F5" w:rsidP="007101F2">
      <w:pPr>
        <w:jc w:val="center"/>
        <w:rPr>
          <w:sz w:val="20"/>
        </w:rPr>
      </w:pPr>
    </w:p>
    <w:p w14:paraId="3C6E95B4" w14:textId="3296C50C" w:rsidR="00D87E0E" w:rsidRDefault="00F95512" w:rsidP="007101F2">
      <w:pPr>
        <w:jc w:val="center"/>
        <w:rPr>
          <w:sz w:val="20"/>
        </w:rPr>
      </w:pPr>
      <w:r>
        <w:rPr>
          <w:sz w:val="20"/>
        </w:rPr>
        <w:t>*Not Present</w:t>
      </w:r>
    </w:p>
    <w:p w14:paraId="609BFAC1" w14:textId="5AEF98B3" w:rsidR="005204F5" w:rsidRDefault="005204F5" w:rsidP="007101F2">
      <w:pPr>
        <w:jc w:val="center"/>
        <w:rPr>
          <w:sz w:val="20"/>
        </w:rPr>
      </w:pPr>
    </w:p>
    <w:p w14:paraId="4BDE154C" w14:textId="77777777" w:rsidR="004F036B" w:rsidRDefault="004F036B" w:rsidP="00E6140F">
      <w:pPr>
        <w:rPr>
          <w:b/>
          <w:bCs/>
        </w:rPr>
      </w:pPr>
    </w:p>
    <w:p w14:paraId="02436E3B" w14:textId="438E72F8" w:rsidR="00E6140F" w:rsidRPr="004F036B" w:rsidRDefault="00E6140F" w:rsidP="00E6140F">
      <w:pPr>
        <w:rPr>
          <w:b/>
          <w:bCs/>
        </w:rPr>
      </w:pPr>
      <w:r w:rsidRPr="006B5013">
        <w:rPr>
          <w:b/>
          <w:bCs/>
        </w:rPr>
        <w:t>Introductions</w:t>
      </w:r>
      <w:r w:rsidR="004F036B">
        <w:rPr>
          <w:b/>
          <w:bCs/>
        </w:rPr>
        <w:t>/</w:t>
      </w:r>
      <w:r w:rsidRPr="006B5013">
        <w:rPr>
          <w:b/>
          <w:bCs/>
        </w:rPr>
        <w:t>Oregon Interstate Compact Updat</w:t>
      </w:r>
      <w:r>
        <w:rPr>
          <w:b/>
          <w:bCs/>
        </w:rPr>
        <w:t>e</w:t>
      </w:r>
      <w:r w:rsidR="004F036B">
        <w:rPr>
          <w:b/>
          <w:bCs/>
        </w:rPr>
        <w:t xml:space="preserve">: </w:t>
      </w:r>
    </w:p>
    <w:p w14:paraId="6FE86C14" w14:textId="4735B5CB" w:rsidR="00E6140F" w:rsidRDefault="00E6140F" w:rsidP="00E6140F"/>
    <w:p w14:paraId="5FB20F78" w14:textId="77777777" w:rsidR="004F036B" w:rsidRPr="004F036B" w:rsidRDefault="004F036B" w:rsidP="004F036B">
      <w:pPr>
        <w:rPr>
          <w:u w:val="single"/>
        </w:rPr>
      </w:pPr>
      <w:r w:rsidRPr="004F036B">
        <w:rPr>
          <w:u w:val="single"/>
        </w:rPr>
        <w:t xml:space="preserve">Review Compact Structure: </w:t>
      </w:r>
    </w:p>
    <w:p w14:paraId="4D086678" w14:textId="77777777" w:rsidR="004F036B" w:rsidRPr="004F036B" w:rsidRDefault="004F036B" w:rsidP="004F036B">
      <w:r w:rsidRPr="004F036B">
        <w:t>Jeremiah- Commissioner-Appointed Interstate Compact Representative for Oregon.</w:t>
      </w:r>
    </w:p>
    <w:p w14:paraId="564FEC20" w14:textId="77777777" w:rsidR="004F036B" w:rsidRPr="004F036B" w:rsidRDefault="004F036B" w:rsidP="004F036B">
      <w:r w:rsidRPr="004F036B">
        <w:t>Mark Patterson-Deputy Compact Administrator</w:t>
      </w:r>
    </w:p>
    <w:p w14:paraId="53225BFE" w14:textId="77777777" w:rsidR="004F036B" w:rsidRPr="004F036B" w:rsidRDefault="004F036B" w:rsidP="004F036B">
      <w:r w:rsidRPr="004F036B">
        <w:t>Ruby McClorey- Lead Interstate Compact Coordinator</w:t>
      </w:r>
    </w:p>
    <w:p w14:paraId="68300D57" w14:textId="77777777" w:rsidR="004F036B" w:rsidRPr="004F036B" w:rsidRDefault="004F036B" w:rsidP="004F036B">
      <w:r w:rsidRPr="004F036B">
        <w:t>Kristi Reames- Interstate Compact Coordinator (A-M Caseload)</w:t>
      </w:r>
    </w:p>
    <w:p w14:paraId="167CBC4B" w14:textId="77777777" w:rsidR="004F036B" w:rsidRPr="004F036B" w:rsidRDefault="004F036B" w:rsidP="004F036B">
      <w:r w:rsidRPr="004F036B">
        <w:t>Khris Nunnery- Interstate Compact Coordinator (N-Z Caseload)</w:t>
      </w:r>
    </w:p>
    <w:p w14:paraId="728C0E9A" w14:textId="77777777" w:rsidR="004F036B" w:rsidRDefault="004F036B" w:rsidP="00E6140F"/>
    <w:p w14:paraId="20106E20" w14:textId="77777777" w:rsidR="004F036B" w:rsidRPr="00AB540A" w:rsidRDefault="004F036B" w:rsidP="004F036B">
      <w:pPr>
        <w:rPr>
          <w:u w:val="single"/>
        </w:rPr>
      </w:pPr>
      <w:r w:rsidRPr="00AB540A">
        <w:rPr>
          <w:u w:val="single"/>
        </w:rPr>
        <w:t xml:space="preserve">Oregon Compact Stats: </w:t>
      </w:r>
    </w:p>
    <w:p w14:paraId="315D7E65" w14:textId="77777777" w:rsidR="004F036B" w:rsidRDefault="004F036B" w:rsidP="004F036B">
      <w:r>
        <w:t>542 ICOTS Users</w:t>
      </w:r>
    </w:p>
    <w:p w14:paraId="6AC6A814" w14:textId="161F5740" w:rsidR="004F036B" w:rsidRDefault="004F036B" w:rsidP="004F036B">
      <w:r>
        <w:t>1,268 Active Compact offenders supervised in Oregon from other states.</w:t>
      </w:r>
    </w:p>
    <w:p w14:paraId="622AFABA" w14:textId="2C9CC02E" w:rsidR="004F036B" w:rsidRDefault="004F036B" w:rsidP="004F036B">
      <w:r>
        <w:t>1,263 Active Compact offenders supervised in other states from Oregon.</w:t>
      </w:r>
    </w:p>
    <w:p w14:paraId="25E1AE54" w14:textId="0D45F8D2" w:rsidR="004F036B" w:rsidRDefault="004F036B" w:rsidP="004F036B">
      <w:r>
        <w:t xml:space="preserve">Majority of incoming and outgoing cases are from ID, </w:t>
      </w:r>
      <w:r w:rsidR="00524A60">
        <w:t>WA,</w:t>
      </w:r>
      <w:r>
        <w:t xml:space="preserve"> and CA.</w:t>
      </w:r>
    </w:p>
    <w:p w14:paraId="5DE9908D" w14:textId="77777777" w:rsidR="004F036B" w:rsidRDefault="004F036B" w:rsidP="004F036B">
      <w:r>
        <w:t>Top 5 Offense Types: Assault, Traffic, Drugs, SO, and Burglary.</w:t>
      </w:r>
    </w:p>
    <w:p w14:paraId="645B485D" w14:textId="7D3B958A" w:rsidR="004F036B" w:rsidRPr="005204F5" w:rsidRDefault="004F036B" w:rsidP="004F036B">
      <w:r>
        <w:t>Top Reasons: Resident</w:t>
      </w:r>
      <w:r w:rsidR="00610088">
        <w:t>, Family Resident</w:t>
      </w:r>
      <w:r>
        <w:t xml:space="preserve"> and Employment.</w:t>
      </w:r>
    </w:p>
    <w:p w14:paraId="42872045" w14:textId="77777777" w:rsidR="00E6140F" w:rsidRDefault="00E6140F" w:rsidP="00E6140F">
      <w:pPr>
        <w:rPr>
          <w:b/>
          <w:bCs/>
        </w:rPr>
      </w:pPr>
    </w:p>
    <w:p w14:paraId="54EDE24A" w14:textId="71E4C478" w:rsidR="00E6140F" w:rsidRDefault="00E6140F" w:rsidP="00E6140F">
      <w:pPr>
        <w:rPr>
          <w:b/>
          <w:bCs/>
        </w:rPr>
      </w:pPr>
      <w:r w:rsidRPr="006B5013">
        <w:rPr>
          <w:b/>
          <w:bCs/>
        </w:rPr>
        <w:t xml:space="preserve">Oregon Compact Compliance for </w:t>
      </w:r>
      <w:r>
        <w:rPr>
          <w:b/>
          <w:bCs/>
        </w:rPr>
        <w:t xml:space="preserve">2022 </w:t>
      </w:r>
      <w:r w:rsidRPr="006B5013">
        <w:rPr>
          <w:b/>
          <w:bCs/>
        </w:rPr>
        <w:t xml:space="preserve">YTD </w:t>
      </w:r>
    </w:p>
    <w:p w14:paraId="70521AD0" w14:textId="18DB9B12" w:rsidR="00610088" w:rsidRDefault="00610088" w:rsidP="00E6140F">
      <w:pPr>
        <w:rPr>
          <w:b/>
          <w:bCs/>
        </w:rPr>
      </w:pPr>
    </w:p>
    <w:p w14:paraId="379D4F8C" w14:textId="7B22A0D6" w:rsidR="00CF103D" w:rsidRPr="00CF103D" w:rsidRDefault="00CF103D" w:rsidP="00CF103D">
      <w:pPr>
        <w:rPr>
          <w:u w:val="single"/>
        </w:rPr>
      </w:pPr>
      <w:r w:rsidRPr="00CF103D">
        <w:rPr>
          <w:u w:val="single"/>
        </w:rPr>
        <w:t xml:space="preserve">Compliance </w:t>
      </w:r>
      <w:r>
        <w:rPr>
          <w:u w:val="single"/>
        </w:rPr>
        <w:t>S</w:t>
      </w:r>
      <w:r w:rsidRPr="00CF103D">
        <w:rPr>
          <w:u w:val="single"/>
        </w:rPr>
        <w:t>tandards and Oregon’s Results 202</w:t>
      </w:r>
      <w:r>
        <w:rPr>
          <w:u w:val="single"/>
        </w:rPr>
        <w:t>2</w:t>
      </w:r>
      <w:r w:rsidRPr="00CF103D">
        <w:rPr>
          <w:u w:val="single"/>
        </w:rPr>
        <w:t>: (Expected compliance at 80% for each quarter)</w:t>
      </w:r>
    </w:p>
    <w:p w14:paraId="29016CA7" w14:textId="77777777" w:rsidR="00CF103D" w:rsidRPr="00CF103D" w:rsidRDefault="00CF103D" w:rsidP="00CF103D"/>
    <w:p w14:paraId="36B1FE63" w14:textId="0BE453A9" w:rsidR="00CF103D" w:rsidRPr="00CF103D" w:rsidRDefault="00CF103D" w:rsidP="00CF103D">
      <w:r w:rsidRPr="00CF103D">
        <w:t>Case Closure: 9</w:t>
      </w:r>
      <w:r>
        <w:t>6</w:t>
      </w:r>
      <w:r w:rsidRPr="00CF103D">
        <w:t>%</w:t>
      </w:r>
    </w:p>
    <w:p w14:paraId="6578ECE3" w14:textId="0718D6DB" w:rsidR="00CF103D" w:rsidRPr="00CF103D" w:rsidRDefault="00CF103D" w:rsidP="00CF103D">
      <w:r w:rsidRPr="00CF103D">
        <w:t xml:space="preserve">Violation Responses: </w:t>
      </w:r>
      <w:r>
        <w:t>88</w:t>
      </w:r>
      <w:r w:rsidRPr="00CF103D">
        <w:t>%</w:t>
      </w:r>
    </w:p>
    <w:p w14:paraId="6B24A0E5" w14:textId="4D41140C" w:rsidR="00CF103D" w:rsidRPr="00CF103D" w:rsidRDefault="00CF103D" w:rsidP="00CF103D">
      <w:r w:rsidRPr="00CF103D">
        <w:t>Case Closure Replies: 9</w:t>
      </w:r>
      <w:r>
        <w:t>4</w:t>
      </w:r>
      <w:r w:rsidRPr="00CF103D">
        <w:t>%</w:t>
      </w:r>
    </w:p>
    <w:p w14:paraId="773D68A0" w14:textId="41D4E063" w:rsidR="00CF103D" w:rsidRPr="00CF103D" w:rsidRDefault="00CF103D" w:rsidP="00CF103D">
      <w:r w:rsidRPr="00CF103D">
        <w:lastRenderedPageBreak/>
        <w:t>Requested Progress Reports: 96%</w:t>
      </w:r>
    </w:p>
    <w:p w14:paraId="09E3B0A6" w14:textId="5AD5E2E9" w:rsidR="00CF103D" w:rsidRPr="00CF103D" w:rsidRDefault="00CF103D" w:rsidP="00CF103D">
      <w:r w:rsidRPr="00CF103D">
        <w:t>Transfer Reply: 95%</w:t>
      </w:r>
    </w:p>
    <w:p w14:paraId="7EFC80C8" w14:textId="50F2A7AB" w:rsidR="00CF103D" w:rsidRPr="00CF103D" w:rsidRDefault="00CF103D" w:rsidP="00CF103D">
      <w:r w:rsidRPr="00CF103D">
        <w:t>Reply for Reporting Instructions: 98%</w:t>
      </w:r>
    </w:p>
    <w:p w14:paraId="6CB0D1A9" w14:textId="2F0EBE5C" w:rsidR="00E6140F" w:rsidRDefault="00E6140F" w:rsidP="00E6140F"/>
    <w:p w14:paraId="63A98F09" w14:textId="59EE29C4" w:rsidR="00CF103D" w:rsidRDefault="00CF103D" w:rsidP="00E6140F">
      <w:r>
        <w:t>Trending at or above the national average. Last four years compliance standards maintained at or above 90%.</w:t>
      </w:r>
    </w:p>
    <w:p w14:paraId="64B8552B" w14:textId="77777777" w:rsidR="00CF103D" w:rsidRDefault="00CF103D" w:rsidP="00E6140F">
      <w:pPr>
        <w:rPr>
          <w:b/>
          <w:bCs/>
        </w:rPr>
      </w:pPr>
    </w:p>
    <w:p w14:paraId="1C63A9D8" w14:textId="77777777" w:rsidR="00CF103D" w:rsidRDefault="00E6140F" w:rsidP="00E6140F">
      <w:pPr>
        <w:rPr>
          <w:b/>
          <w:bCs/>
        </w:rPr>
      </w:pPr>
      <w:r w:rsidRPr="006B5013">
        <w:rPr>
          <w:b/>
          <w:bCs/>
        </w:rPr>
        <w:t>New Rules effective April 2022 recap</w:t>
      </w:r>
    </w:p>
    <w:p w14:paraId="2065B03A" w14:textId="77777777" w:rsidR="00CF103D" w:rsidRDefault="00CF103D" w:rsidP="00E6140F">
      <w:pPr>
        <w:rPr>
          <w:b/>
          <w:bCs/>
        </w:rPr>
      </w:pPr>
    </w:p>
    <w:p w14:paraId="38D39089" w14:textId="2FB8A5D5" w:rsidR="00CF103D" w:rsidRDefault="00CF103D" w:rsidP="00E6140F">
      <w:r w:rsidRPr="002F3588">
        <w:rPr>
          <w:u w:val="single"/>
        </w:rPr>
        <w:t>15 Business Day Standard for Issuing Warrants</w:t>
      </w:r>
      <w:r w:rsidR="002F3588" w:rsidRPr="002F3588">
        <w:rPr>
          <w:u w:val="single"/>
        </w:rPr>
        <w:t>- Implementation</w:t>
      </w:r>
      <w:r w:rsidR="002F3588">
        <w:t>:</w:t>
      </w:r>
    </w:p>
    <w:p w14:paraId="59BE9B64" w14:textId="005C4252" w:rsidR="002F3588" w:rsidRDefault="002F3588" w:rsidP="00E6140F"/>
    <w:p w14:paraId="6E68E1FC" w14:textId="71B00FA5" w:rsidR="002F3588" w:rsidRDefault="002F3588" w:rsidP="002F3588">
      <w:pPr>
        <w:pStyle w:val="ListParagraph"/>
        <w:numPr>
          <w:ilvl w:val="0"/>
          <w:numId w:val="5"/>
        </w:numPr>
      </w:pPr>
      <w:r>
        <w:t>Offender does not return as ordered (Expands timeframe from 10 to 15 business days)</w:t>
      </w:r>
    </w:p>
    <w:p w14:paraId="2C8C900D" w14:textId="5B05EF7D" w:rsidR="002F3588" w:rsidRDefault="002F3588" w:rsidP="002F3588">
      <w:pPr>
        <w:pStyle w:val="ListParagraph"/>
        <w:numPr>
          <w:ilvl w:val="0"/>
          <w:numId w:val="5"/>
        </w:numPr>
      </w:pPr>
      <w:r>
        <w:t>Offender does not return as ordered (Reduces timeframe from 30 calendar days to 15 business days)</w:t>
      </w:r>
    </w:p>
    <w:p w14:paraId="6C4D3F44" w14:textId="737B4D52" w:rsidR="002F3588" w:rsidRDefault="002F3588" w:rsidP="002F3588">
      <w:pPr>
        <w:pStyle w:val="ListParagraph"/>
        <w:numPr>
          <w:ilvl w:val="0"/>
          <w:numId w:val="5"/>
        </w:numPr>
      </w:pPr>
      <w:r>
        <w:t>Creates timeframe to issue warrant after involving mandatory retaking for new felony or violent crime conviction</w:t>
      </w:r>
    </w:p>
    <w:p w14:paraId="5C5237AD" w14:textId="448830C6" w:rsidR="002F3588" w:rsidRDefault="002F3588" w:rsidP="002F3588">
      <w:pPr>
        <w:pStyle w:val="ListParagraph"/>
        <w:numPr>
          <w:ilvl w:val="0"/>
          <w:numId w:val="5"/>
        </w:numPr>
      </w:pPr>
      <w:r>
        <w:t xml:space="preserve">Expands timeframe from “upon receipt” to 15 business days. </w:t>
      </w:r>
    </w:p>
    <w:p w14:paraId="254D5E15" w14:textId="442E5D30" w:rsidR="00E6140F" w:rsidRPr="00006942" w:rsidRDefault="00E6140F" w:rsidP="00E6140F">
      <w:r>
        <w:tab/>
      </w:r>
      <w:r>
        <w:tab/>
      </w:r>
    </w:p>
    <w:p w14:paraId="241F12E3" w14:textId="77777777" w:rsidR="00E6140F" w:rsidRDefault="00E6140F" w:rsidP="00E6140F">
      <w:r w:rsidRPr="006B5013">
        <w:rPr>
          <w:b/>
          <w:bCs/>
        </w:rPr>
        <w:t>2022 Annual Business Meeting in New York – 20</w:t>
      </w:r>
      <w:r w:rsidRPr="006B5013">
        <w:rPr>
          <w:b/>
          <w:bCs/>
          <w:vertAlign w:val="superscript"/>
        </w:rPr>
        <w:t>th</w:t>
      </w:r>
      <w:r w:rsidRPr="006B5013">
        <w:rPr>
          <w:b/>
          <w:bCs/>
        </w:rPr>
        <w:t xml:space="preserve"> Anniversary</w:t>
      </w:r>
      <w:r>
        <w:t xml:space="preserve">  </w:t>
      </w:r>
    </w:p>
    <w:p w14:paraId="2943FB36" w14:textId="381A5DEF" w:rsidR="00E6140F" w:rsidRPr="002F3588" w:rsidRDefault="00E6140F" w:rsidP="002F3588"/>
    <w:p w14:paraId="66927E00" w14:textId="40FC76BB" w:rsidR="002F3588" w:rsidRDefault="002F3588" w:rsidP="00006942">
      <w:pPr>
        <w:pStyle w:val="ListParagraph"/>
        <w:numPr>
          <w:ilvl w:val="0"/>
          <w:numId w:val="8"/>
        </w:numPr>
      </w:pPr>
      <w:r w:rsidRPr="002F3588">
        <w:t>New leadership: Chair- Mary Kay Hudson, Vice Chair</w:t>
      </w:r>
      <w:r w:rsidR="00006942">
        <w:t>-</w:t>
      </w:r>
      <w:r w:rsidRPr="002F3588">
        <w:t>Mac Pevey, and Treasurer</w:t>
      </w:r>
      <w:r w:rsidR="00006942">
        <w:t xml:space="preserve">- </w:t>
      </w:r>
      <w:r w:rsidRPr="002F3588">
        <w:t>Gary Roberge.</w:t>
      </w:r>
    </w:p>
    <w:p w14:paraId="484D9679" w14:textId="5708C72D" w:rsidR="002F3588" w:rsidRDefault="00006942" w:rsidP="00006942">
      <w:pPr>
        <w:pStyle w:val="ListParagraph"/>
        <w:numPr>
          <w:ilvl w:val="0"/>
          <w:numId w:val="8"/>
        </w:numPr>
      </w:pPr>
      <w:r w:rsidRPr="00006942">
        <w:t xml:space="preserve">Annual Due Increase: Commission to increase 5.25% </w:t>
      </w:r>
      <w:r w:rsidR="00524A60">
        <w:t>each year for</w:t>
      </w:r>
      <w:r w:rsidRPr="00006942">
        <w:t xml:space="preserve"> five years and 3% every year after. </w:t>
      </w:r>
    </w:p>
    <w:p w14:paraId="7661FB89" w14:textId="7679F50F" w:rsidR="00006942" w:rsidRDefault="00006942" w:rsidP="00006942">
      <w:pPr>
        <w:pStyle w:val="ListParagraph"/>
        <w:numPr>
          <w:ilvl w:val="0"/>
          <w:numId w:val="8"/>
        </w:numPr>
      </w:pPr>
      <w:r>
        <w:t>The Road Home Documentary-</w:t>
      </w:r>
      <w:r w:rsidR="00AC1BBB">
        <w:t xml:space="preserve"> Encouraged to use as an educational tool.</w:t>
      </w:r>
    </w:p>
    <w:p w14:paraId="03B4A519" w14:textId="6975A63F" w:rsidR="00006942" w:rsidRDefault="00006942" w:rsidP="00006942">
      <w:pPr>
        <w:pStyle w:val="ListParagraph"/>
        <w:numPr>
          <w:ilvl w:val="0"/>
          <w:numId w:val="8"/>
        </w:numPr>
      </w:pPr>
      <w:r>
        <w:t>Mark</w:t>
      </w:r>
      <w:r w:rsidR="00A60833">
        <w:t xml:space="preserve"> Patterson</w:t>
      </w:r>
      <w:r>
        <w:t xml:space="preserve"> recipient of Executive Director Award. </w:t>
      </w:r>
    </w:p>
    <w:p w14:paraId="1E7F77C0" w14:textId="77777777" w:rsidR="00006942" w:rsidRPr="00006942" w:rsidRDefault="00006942" w:rsidP="002F3588"/>
    <w:p w14:paraId="300904A9" w14:textId="77777777" w:rsidR="00E6140F" w:rsidRPr="006B5013" w:rsidRDefault="00E6140F" w:rsidP="00E6140F">
      <w:pPr>
        <w:rPr>
          <w:color w:val="FF0000"/>
        </w:rPr>
      </w:pPr>
      <w:r w:rsidRPr="006B5013">
        <w:rPr>
          <w:b/>
          <w:bCs/>
        </w:rPr>
        <w:t>2023 Annual Business Meeting in Norfolk, VA – Rule Making</w:t>
      </w:r>
      <w:r>
        <w:rPr>
          <w:b/>
          <w:bCs/>
        </w:rPr>
        <w:t xml:space="preserve"> Year</w:t>
      </w:r>
    </w:p>
    <w:p w14:paraId="65048A27" w14:textId="34A04F2B" w:rsidR="00E6140F" w:rsidRDefault="00E6140F" w:rsidP="00E6140F"/>
    <w:p w14:paraId="456EDB3F" w14:textId="77777777" w:rsidR="00E37C0B" w:rsidRDefault="00A60833" w:rsidP="00E37C0B">
      <w:pPr>
        <w:pStyle w:val="ListParagraph"/>
        <w:numPr>
          <w:ilvl w:val="0"/>
          <w:numId w:val="9"/>
        </w:numPr>
      </w:pPr>
      <w:r>
        <w:t xml:space="preserve">In process of developing potential rule amendments or new rules to the Compact. </w:t>
      </w:r>
    </w:p>
    <w:p w14:paraId="04E28663" w14:textId="002267EE" w:rsidR="00E37C0B" w:rsidRDefault="00A60833" w:rsidP="00E6140F">
      <w:pPr>
        <w:pStyle w:val="ListParagraph"/>
        <w:numPr>
          <w:ilvl w:val="0"/>
          <w:numId w:val="9"/>
        </w:numPr>
      </w:pPr>
      <w:r>
        <w:t xml:space="preserve">If there are components to the rules that need to be amended, </w:t>
      </w:r>
      <w:r w:rsidR="00AC1BBB">
        <w:t>clarified,</w:t>
      </w:r>
      <w:r>
        <w:t xml:space="preserve"> or are not workin</w:t>
      </w:r>
      <w:r w:rsidR="00E37C0B">
        <w:t xml:space="preserve">g </w:t>
      </w:r>
      <w:r>
        <w:t xml:space="preserve">Mark and Jeremiah need to know </w:t>
      </w:r>
      <w:r w:rsidR="00AC1BBB">
        <w:t xml:space="preserve">so that they can work with the </w:t>
      </w:r>
      <w:r>
        <w:t xml:space="preserve">West Region around developing amendments or rule changes. </w:t>
      </w:r>
    </w:p>
    <w:p w14:paraId="7A34F44C" w14:textId="13359F58" w:rsidR="00E6140F" w:rsidRDefault="00E6140F" w:rsidP="00E6140F"/>
    <w:p w14:paraId="5C8D0AA8" w14:textId="5C7D69BE" w:rsidR="00E6140F" w:rsidRDefault="00E6140F" w:rsidP="00E6140F">
      <w:pPr>
        <w:rPr>
          <w:b/>
          <w:bCs/>
        </w:rPr>
      </w:pPr>
      <w:r w:rsidRPr="006B5013">
        <w:rPr>
          <w:b/>
          <w:bCs/>
        </w:rPr>
        <w:t>Questions/Discussion</w:t>
      </w:r>
    </w:p>
    <w:p w14:paraId="524E892C" w14:textId="29F12D16" w:rsidR="00E37C0B" w:rsidRDefault="00E37C0B" w:rsidP="00E6140F">
      <w:pPr>
        <w:rPr>
          <w:b/>
          <w:bCs/>
        </w:rPr>
      </w:pPr>
    </w:p>
    <w:p w14:paraId="605D99C1" w14:textId="77777777" w:rsidR="00E37C0B" w:rsidRDefault="00E37C0B" w:rsidP="00E37C0B">
      <w:pPr>
        <w:pStyle w:val="ListParagraph"/>
        <w:numPr>
          <w:ilvl w:val="0"/>
          <w:numId w:val="9"/>
        </w:numPr>
      </w:pPr>
      <w:r>
        <w:t>Reminder that Mark and Jeremiah are available for brief Compact trainings as needed.</w:t>
      </w:r>
    </w:p>
    <w:p w14:paraId="74E2F55B" w14:textId="19AECBE4" w:rsidR="003A2AAA" w:rsidRDefault="00AC1BBB" w:rsidP="00524A60">
      <w:pPr>
        <w:pStyle w:val="ListParagraph"/>
        <w:numPr>
          <w:ilvl w:val="0"/>
          <w:numId w:val="10"/>
        </w:numPr>
      </w:pPr>
      <w:r>
        <w:t xml:space="preserve">Recommendation </w:t>
      </w:r>
      <w:r w:rsidR="00524A60">
        <w:t>of</w:t>
      </w:r>
      <w:r>
        <w:t xml:space="preserve"> i</w:t>
      </w:r>
      <w:r w:rsidR="00E37C0B">
        <w:t>ncreasing Compact fees for</w:t>
      </w:r>
      <w:r>
        <w:t xml:space="preserve"> the</w:t>
      </w:r>
      <w:r w:rsidR="00E37C0B">
        <w:t xml:space="preserve"> State of Oregon. Nicole and Mark to gather data around </w:t>
      </w:r>
      <w:r w:rsidR="00A73014">
        <w:t xml:space="preserve">current operational costs </w:t>
      </w:r>
      <w:r>
        <w:t xml:space="preserve">before presenting to the </w:t>
      </w:r>
      <w:r w:rsidR="00E37C0B">
        <w:t>Council for recommended changes.</w:t>
      </w:r>
    </w:p>
    <w:p w14:paraId="682E3BA9" w14:textId="7CE89ABC" w:rsidR="00524A60" w:rsidRPr="00E37C0B" w:rsidRDefault="00524A60" w:rsidP="00524A60">
      <w:pPr>
        <w:pStyle w:val="ListParagraph"/>
        <w:numPr>
          <w:ilvl w:val="0"/>
          <w:numId w:val="10"/>
        </w:numPr>
      </w:pPr>
      <w:r w:rsidRPr="00524A60">
        <w:t>DA Berry asked for us to inquire with DOC lawyers or AAG’s to see if Compact documentary would qualify as continued legal education</w:t>
      </w:r>
      <w:r>
        <w:t>.</w:t>
      </w:r>
    </w:p>
    <w:p w14:paraId="29DEC366" w14:textId="77777777" w:rsidR="00E6140F" w:rsidRDefault="00E6140F" w:rsidP="00E6140F"/>
    <w:p w14:paraId="2D80C87C" w14:textId="77777777" w:rsidR="005204F5" w:rsidRPr="007101F2" w:rsidRDefault="005204F5" w:rsidP="005204F5">
      <w:pPr>
        <w:rPr>
          <w:sz w:val="20"/>
        </w:rPr>
      </w:pPr>
    </w:p>
    <w:sectPr w:rsidR="005204F5" w:rsidRPr="007101F2" w:rsidSect="00DD54A1">
      <w:footerReference w:type="default" r:id="rId8"/>
      <w:pgSz w:w="12240" w:h="15840"/>
      <w:pgMar w:top="720" w:right="720" w:bottom="720" w:left="72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E57A" w14:textId="77777777" w:rsidR="00C1579D" w:rsidRDefault="00C1579D" w:rsidP="00196EA9">
      <w:r>
        <w:separator/>
      </w:r>
    </w:p>
  </w:endnote>
  <w:endnote w:type="continuationSeparator" w:id="0">
    <w:p w14:paraId="3CE08516" w14:textId="77777777" w:rsidR="00C1579D" w:rsidRDefault="00C1579D" w:rsidP="0019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4307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CAF54C" w14:textId="7B5ED6B2" w:rsidR="007D62F9" w:rsidRDefault="007D62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D05305" w14:textId="77777777" w:rsidR="007D62F9" w:rsidRDefault="007D6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70BB" w14:textId="77777777" w:rsidR="00C1579D" w:rsidRDefault="00C1579D" w:rsidP="00196EA9">
      <w:r>
        <w:separator/>
      </w:r>
    </w:p>
  </w:footnote>
  <w:footnote w:type="continuationSeparator" w:id="0">
    <w:p w14:paraId="72F4EAF7" w14:textId="77777777" w:rsidR="00C1579D" w:rsidRDefault="00C1579D" w:rsidP="0019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7D6C"/>
    <w:multiLevelType w:val="hybridMultilevel"/>
    <w:tmpl w:val="C53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273"/>
    <w:multiLevelType w:val="hybridMultilevel"/>
    <w:tmpl w:val="2F1486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5D48"/>
    <w:multiLevelType w:val="hybridMultilevel"/>
    <w:tmpl w:val="CC9E7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5C52"/>
    <w:multiLevelType w:val="hybridMultilevel"/>
    <w:tmpl w:val="E7925E44"/>
    <w:lvl w:ilvl="0" w:tplc="C4380EF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5AEB"/>
    <w:multiLevelType w:val="hybridMultilevel"/>
    <w:tmpl w:val="7DB652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1680D"/>
    <w:multiLevelType w:val="hybridMultilevel"/>
    <w:tmpl w:val="FAF417E0"/>
    <w:lvl w:ilvl="0" w:tplc="5DC6ED1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C65F7"/>
    <w:multiLevelType w:val="hybridMultilevel"/>
    <w:tmpl w:val="FD787A52"/>
    <w:lvl w:ilvl="0" w:tplc="9E96632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A2D74"/>
    <w:multiLevelType w:val="hybridMultilevel"/>
    <w:tmpl w:val="CA5EF976"/>
    <w:lvl w:ilvl="0" w:tplc="9E96632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328CA"/>
    <w:multiLevelType w:val="hybridMultilevel"/>
    <w:tmpl w:val="1988D87C"/>
    <w:lvl w:ilvl="0" w:tplc="9E96632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61C5F"/>
    <w:multiLevelType w:val="hybridMultilevel"/>
    <w:tmpl w:val="1090B406"/>
    <w:lvl w:ilvl="0" w:tplc="9E96632C">
      <w:start w:val="20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3A"/>
    <w:rsid w:val="000038C3"/>
    <w:rsid w:val="00005879"/>
    <w:rsid w:val="00006942"/>
    <w:rsid w:val="000069E8"/>
    <w:rsid w:val="000142A3"/>
    <w:rsid w:val="00015C3C"/>
    <w:rsid w:val="00026B0B"/>
    <w:rsid w:val="000341A0"/>
    <w:rsid w:val="00035A9A"/>
    <w:rsid w:val="00073855"/>
    <w:rsid w:val="00076F7D"/>
    <w:rsid w:val="00081263"/>
    <w:rsid w:val="0008522D"/>
    <w:rsid w:val="000A5C5D"/>
    <w:rsid w:val="000C11FD"/>
    <w:rsid w:val="000D1C91"/>
    <w:rsid w:val="000D7570"/>
    <w:rsid w:val="000E31F4"/>
    <w:rsid w:val="000F5509"/>
    <w:rsid w:val="000F5F9B"/>
    <w:rsid w:val="000F622C"/>
    <w:rsid w:val="00100B39"/>
    <w:rsid w:val="00103BE5"/>
    <w:rsid w:val="001134D3"/>
    <w:rsid w:val="00136516"/>
    <w:rsid w:val="00137F97"/>
    <w:rsid w:val="00143609"/>
    <w:rsid w:val="0015247D"/>
    <w:rsid w:val="0015290B"/>
    <w:rsid w:val="00155E11"/>
    <w:rsid w:val="00156EB1"/>
    <w:rsid w:val="00172BA7"/>
    <w:rsid w:val="001967C6"/>
    <w:rsid w:val="00196EA9"/>
    <w:rsid w:val="001A2A35"/>
    <w:rsid w:val="001A610A"/>
    <w:rsid w:val="001C0777"/>
    <w:rsid w:val="001C498D"/>
    <w:rsid w:val="001C7595"/>
    <w:rsid w:val="001D19E2"/>
    <w:rsid w:val="001D2B04"/>
    <w:rsid w:val="001E325E"/>
    <w:rsid w:val="001E6F99"/>
    <w:rsid w:val="001F7741"/>
    <w:rsid w:val="001F7FD6"/>
    <w:rsid w:val="00200CD6"/>
    <w:rsid w:val="00204D04"/>
    <w:rsid w:val="00214605"/>
    <w:rsid w:val="00221AEA"/>
    <w:rsid w:val="00227BA7"/>
    <w:rsid w:val="00232811"/>
    <w:rsid w:val="00235399"/>
    <w:rsid w:val="00244DA8"/>
    <w:rsid w:val="00251FC4"/>
    <w:rsid w:val="00254375"/>
    <w:rsid w:val="00264CAF"/>
    <w:rsid w:val="00275A1B"/>
    <w:rsid w:val="00275BE0"/>
    <w:rsid w:val="002844C8"/>
    <w:rsid w:val="00292A9D"/>
    <w:rsid w:val="00295F76"/>
    <w:rsid w:val="002A4ED2"/>
    <w:rsid w:val="002B24D2"/>
    <w:rsid w:val="002D2A0D"/>
    <w:rsid w:val="002D7B93"/>
    <w:rsid w:val="002E5477"/>
    <w:rsid w:val="002F3588"/>
    <w:rsid w:val="002F7862"/>
    <w:rsid w:val="00313243"/>
    <w:rsid w:val="0031485F"/>
    <w:rsid w:val="0031522D"/>
    <w:rsid w:val="0031772D"/>
    <w:rsid w:val="003276FD"/>
    <w:rsid w:val="003578F8"/>
    <w:rsid w:val="00361728"/>
    <w:rsid w:val="00367EA7"/>
    <w:rsid w:val="003765BC"/>
    <w:rsid w:val="00382729"/>
    <w:rsid w:val="00382CC0"/>
    <w:rsid w:val="00387573"/>
    <w:rsid w:val="0039025C"/>
    <w:rsid w:val="00392D62"/>
    <w:rsid w:val="003960DE"/>
    <w:rsid w:val="003A0716"/>
    <w:rsid w:val="003A129C"/>
    <w:rsid w:val="003A2AAA"/>
    <w:rsid w:val="003C4631"/>
    <w:rsid w:val="003D19FF"/>
    <w:rsid w:val="003D4DD6"/>
    <w:rsid w:val="003D5A23"/>
    <w:rsid w:val="003E3036"/>
    <w:rsid w:val="003E6902"/>
    <w:rsid w:val="003F7BAB"/>
    <w:rsid w:val="00402384"/>
    <w:rsid w:val="004044EF"/>
    <w:rsid w:val="00412368"/>
    <w:rsid w:val="00437C2F"/>
    <w:rsid w:val="0044039F"/>
    <w:rsid w:val="004507CF"/>
    <w:rsid w:val="004709D7"/>
    <w:rsid w:val="00476383"/>
    <w:rsid w:val="00496B3B"/>
    <w:rsid w:val="004A350D"/>
    <w:rsid w:val="004A4CD1"/>
    <w:rsid w:val="004C00D3"/>
    <w:rsid w:val="004D4446"/>
    <w:rsid w:val="004E4D56"/>
    <w:rsid w:val="004F036B"/>
    <w:rsid w:val="0051339C"/>
    <w:rsid w:val="005204F5"/>
    <w:rsid w:val="00524A60"/>
    <w:rsid w:val="00531EF6"/>
    <w:rsid w:val="005433A9"/>
    <w:rsid w:val="00543507"/>
    <w:rsid w:val="00555312"/>
    <w:rsid w:val="005568C3"/>
    <w:rsid w:val="00564989"/>
    <w:rsid w:val="00571315"/>
    <w:rsid w:val="005740F4"/>
    <w:rsid w:val="005744EC"/>
    <w:rsid w:val="00584A43"/>
    <w:rsid w:val="005B36FF"/>
    <w:rsid w:val="005C20D4"/>
    <w:rsid w:val="005D0321"/>
    <w:rsid w:val="005D27B6"/>
    <w:rsid w:val="005E5A22"/>
    <w:rsid w:val="005E5B0D"/>
    <w:rsid w:val="005E797D"/>
    <w:rsid w:val="00601318"/>
    <w:rsid w:val="00603DF8"/>
    <w:rsid w:val="00605171"/>
    <w:rsid w:val="00610088"/>
    <w:rsid w:val="00614185"/>
    <w:rsid w:val="00637D80"/>
    <w:rsid w:val="00674C04"/>
    <w:rsid w:val="00675C06"/>
    <w:rsid w:val="00677C8C"/>
    <w:rsid w:val="0068756F"/>
    <w:rsid w:val="0069445F"/>
    <w:rsid w:val="00697AA7"/>
    <w:rsid w:val="006A77F0"/>
    <w:rsid w:val="006B146B"/>
    <w:rsid w:val="006B1C60"/>
    <w:rsid w:val="006B1F98"/>
    <w:rsid w:val="006B6E91"/>
    <w:rsid w:val="006C1319"/>
    <w:rsid w:val="006E5101"/>
    <w:rsid w:val="006E5257"/>
    <w:rsid w:val="006E5C4E"/>
    <w:rsid w:val="007062E6"/>
    <w:rsid w:val="007101F2"/>
    <w:rsid w:val="007269EF"/>
    <w:rsid w:val="007369E9"/>
    <w:rsid w:val="007626D2"/>
    <w:rsid w:val="007762CA"/>
    <w:rsid w:val="00790D9D"/>
    <w:rsid w:val="00795DDC"/>
    <w:rsid w:val="00797785"/>
    <w:rsid w:val="007A1537"/>
    <w:rsid w:val="007A22D2"/>
    <w:rsid w:val="007A699B"/>
    <w:rsid w:val="007B5896"/>
    <w:rsid w:val="007B65D8"/>
    <w:rsid w:val="007C712F"/>
    <w:rsid w:val="007D15D7"/>
    <w:rsid w:val="007D5C7D"/>
    <w:rsid w:val="007D62F9"/>
    <w:rsid w:val="007E32BB"/>
    <w:rsid w:val="007F2169"/>
    <w:rsid w:val="008016F5"/>
    <w:rsid w:val="00806040"/>
    <w:rsid w:val="00806CDB"/>
    <w:rsid w:val="00820315"/>
    <w:rsid w:val="00825687"/>
    <w:rsid w:val="0083258C"/>
    <w:rsid w:val="00834CAF"/>
    <w:rsid w:val="008375F7"/>
    <w:rsid w:val="00842C70"/>
    <w:rsid w:val="00846D7D"/>
    <w:rsid w:val="0085350C"/>
    <w:rsid w:val="00860FF8"/>
    <w:rsid w:val="00865A2F"/>
    <w:rsid w:val="00873464"/>
    <w:rsid w:val="008767FC"/>
    <w:rsid w:val="00886F48"/>
    <w:rsid w:val="008972D3"/>
    <w:rsid w:val="008B31FB"/>
    <w:rsid w:val="008C02AE"/>
    <w:rsid w:val="008C1B4C"/>
    <w:rsid w:val="008C1FB6"/>
    <w:rsid w:val="008D344C"/>
    <w:rsid w:val="008E48A9"/>
    <w:rsid w:val="00900399"/>
    <w:rsid w:val="00911A01"/>
    <w:rsid w:val="00922393"/>
    <w:rsid w:val="009247E8"/>
    <w:rsid w:val="0095169F"/>
    <w:rsid w:val="00952731"/>
    <w:rsid w:val="009610B9"/>
    <w:rsid w:val="00982180"/>
    <w:rsid w:val="00990CD0"/>
    <w:rsid w:val="00991F94"/>
    <w:rsid w:val="009A01C4"/>
    <w:rsid w:val="009A05A2"/>
    <w:rsid w:val="009A1AF2"/>
    <w:rsid w:val="009B03A8"/>
    <w:rsid w:val="009B3F16"/>
    <w:rsid w:val="009B5435"/>
    <w:rsid w:val="009D2D68"/>
    <w:rsid w:val="009E6024"/>
    <w:rsid w:val="009E61AC"/>
    <w:rsid w:val="009E78EA"/>
    <w:rsid w:val="009F0C12"/>
    <w:rsid w:val="009F1096"/>
    <w:rsid w:val="009F41E7"/>
    <w:rsid w:val="00A041E6"/>
    <w:rsid w:val="00A12675"/>
    <w:rsid w:val="00A20F87"/>
    <w:rsid w:val="00A333F8"/>
    <w:rsid w:val="00A346DD"/>
    <w:rsid w:val="00A46AB2"/>
    <w:rsid w:val="00A53BFF"/>
    <w:rsid w:val="00A60833"/>
    <w:rsid w:val="00A60B50"/>
    <w:rsid w:val="00A7023A"/>
    <w:rsid w:val="00A73014"/>
    <w:rsid w:val="00A80685"/>
    <w:rsid w:val="00A875AA"/>
    <w:rsid w:val="00A87B0C"/>
    <w:rsid w:val="00A916BD"/>
    <w:rsid w:val="00A97535"/>
    <w:rsid w:val="00AB2A3C"/>
    <w:rsid w:val="00AB540A"/>
    <w:rsid w:val="00AC1BBB"/>
    <w:rsid w:val="00B01C62"/>
    <w:rsid w:val="00B0612E"/>
    <w:rsid w:val="00B0766A"/>
    <w:rsid w:val="00B11F95"/>
    <w:rsid w:val="00B1330F"/>
    <w:rsid w:val="00B14697"/>
    <w:rsid w:val="00B365C1"/>
    <w:rsid w:val="00B457C8"/>
    <w:rsid w:val="00B46DCB"/>
    <w:rsid w:val="00B51A51"/>
    <w:rsid w:val="00B56584"/>
    <w:rsid w:val="00B62E2E"/>
    <w:rsid w:val="00B649F8"/>
    <w:rsid w:val="00BA27BD"/>
    <w:rsid w:val="00BA4877"/>
    <w:rsid w:val="00BB56F0"/>
    <w:rsid w:val="00BB5CAE"/>
    <w:rsid w:val="00BC05BB"/>
    <w:rsid w:val="00BC7F79"/>
    <w:rsid w:val="00BE0843"/>
    <w:rsid w:val="00BF4F3F"/>
    <w:rsid w:val="00C071F9"/>
    <w:rsid w:val="00C1579D"/>
    <w:rsid w:val="00C32005"/>
    <w:rsid w:val="00C33416"/>
    <w:rsid w:val="00C5468A"/>
    <w:rsid w:val="00C63C90"/>
    <w:rsid w:val="00C63DB0"/>
    <w:rsid w:val="00C730DA"/>
    <w:rsid w:val="00C7470F"/>
    <w:rsid w:val="00C75C27"/>
    <w:rsid w:val="00C83C08"/>
    <w:rsid w:val="00CB5169"/>
    <w:rsid w:val="00CB5E11"/>
    <w:rsid w:val="00CF103D"/>
    <w:rsid w:val="00CF415A"/>
    <w:rsid w:val="00CF7BA3"/>
    <w:rsid w:val="00D16E41"/>
    <w:rsid w:val="00D20C54"/>
    <w:rsid w:val="00D255B9"/>
    <w:rsid w:val="00D2568B"/>
    <w:rsid w:val="00D27F25"/>
    <w:rsid w:val="00D31ED2"/>
    <w:rsid w:val="00D333F5"/>
    <w:rsid w:val="00D51CA6"/>
    <w:rsid w:val="00D52DF8"/>
    <w:rsid w:val="00D60316"/>
    <w:rsid w:val="00D62D43"/>
    <w:rsid w:val="00D71F46"/>
    <w:rsid w:val="00D7566A"/>
    <w:rsid w:val="00D75F1F"/>
    <w:rsid w:val="00D80BD2"/>
    <w:rsid w:val="00D823B7"/>
    <w:rsid w:val="00D861EC"/>
    <w:rsid w:val="00D869AD"/>
    <w:rsid w:val="00D87E0E"/>
    <w:rsid w:val="00D90C24"/>
    <w:rsid w:val="00D91493"/>
    <w:rsid w:val="00DA2A8E"/>
    <w:rsid w:val="00DA7D16"/>
    <w:rsid w:val="00DB0A1B"/>
    <w:rsid w:val="00DB3D2F"/>
    <w:rsid w:val="00DC48DB"/>
    <w:rsid w:val="00DD54A1"/>
    <w:rsid w:val="00DD5B9C"/>
    <w:rsid w:val="00DE1D1D"/>
    <w:rsid w:val="00DE70E4"/>
    <w:rsid w:val="00DF2E3C"/>
    <w:rsid w:val="00DF3881"/>
    <w:rsid w:val="00DF7482"/>
    <w:rsid w:val="00E100F3"/>
    <w:rsid w:val="00E258DF"/>
    <w:rsid w:val="00E25D3E"/>
    <w:rsid w:val="00E30042"/>
    <w:rsid w:val="00E30656"/>
    <w:rsid w:val="00E37C0B"/>
    <w:rsid w:val="00E41897"/>
    <w:rsid w:val="00E42600"/>
    <w:rsid w:val="00E57F4D"/>
    <w:rsid w:val="00E6140F"/>
    <w:rsid w:val="00E61ABB"/>
    <w:rsid w:val="00E65B17"/>
    <w:rsid w:val="00E719BE"/>
    <w:rsid w:val="00E87F4C"/>
    <w:rsid w:val="00E939E7"/>
    <w:rsid w:val="00EA1386"/>
    <w:rsid w:val="00EA1494"/>
    <w:rsid w:val="00EB2046"/>
    <w:rsid w:val="00EB3234"/>
    <w:rsid w:val="00EB7EB3"/>
    <w:rsid w:val="00EC134B"/>
    <w:rsid w:val="00EC2283"/>
    <w:rsid w:val="00EC49D5"/>
    <w:rsid w:val="00ED138B"/>
    <w:rsid w:val="00ED17A2"/>
    <w:rsid w:val="00ED41A6"/>
    <w:rsid w:val="00EE0A37"/>
    <w:rsid w:val="00EE225F"/>
    <w:rsid w:val="00EF0D3D"/>
    <w:rsid w:val="00EF770D"/>
    <w:rsid w:val="00F12684"/>
    <w:rsid w:val="00F2110C"/>
    <w:rsid w:val="00F27CD7"/>
    <w:rsid w:val="00F4603A"/>
    <w:rsid w:val="00F61D08"/>
    <w:rsid w:val="00F71066"/>
    <w:rsid w:val="00F71101"/>
    <w:rsid w:val="00F75CD9"/>
    <w:rsid w:val="00F83443"/>
    <w:rsid w:val="00F945A2"/>
    <w:rsid w:val="00F95512"/>
    <w:rsid w:val="00F97140"/>
    <w:rsid w:val="00FA26F0"/>
    <w:rsid w:val="00FB723A"/>
    <w:rsid w:val="00FB7415"/>
    <w:rsid w:val="00FC5F11"/>
    <w:rsid w:val="00FD7CAE"/>
    <w:rsid w:val="00FE5BF0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FB27C"/>
  <w15:docId w15:val="{49331102-B1AA-4AC3-92C2-8129C20B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4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723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D1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9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6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6E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6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A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13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1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13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1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1318"/>
    <w:rPr>
      <w:b/>
      <w:bCs/>
    </w:rPr>
  </w:style>
  <w:style w:type="paragraph" w:styleId="Revision">
    <w:name w:val="Revision"/>
    <w:hidden/>
    <w:uiPriority w:val="99"/>
    <w:semiHidden/>
    <w:rsid w:val="00076F7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0656"/>
    <w:rPr>
      <w:color w:val="605E5C"/>
      <w:shd w:val="clear" w:color="auto" w:fill="E1DFDD"/>
    </w:rPr>
  </w:style>
  <w:style w:type="table" w:styleId="TableGrid">
    <w:name w:val="Table Grid"/>
    <w:basedOn w:val="TableNormal"/>
    <w:rsid w:val="00D8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1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570DC-D2F4-4FB7-BFF9-820BC7BD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FAUG AGENDA</vt:lpstr>
    </vt:vector>
  </TitlesOfParts>
  <Company>Polk County</Company>
  <LinksUpToDate>false</LinksUpToDate>
  <CharactersWithSpaces>3457</CharactersWithSpaces>
  <SharedDoc>false</SharedDoc>
  <HLinks>
    <vt:vector size="6" baseType="variant"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http://www.svfr.org/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FAUG AGENDA</dc:title>
  <dc:creator>boyera</dc:creator>
  <cp:lastModifiedBy>PATTERSON Mark G * DOC</cp:lastModifiedBy>
  <cp:revision>2</cp:revision>
  <cp:lastPrinted>2019-08-05T22:53:00Z</cp:lastPrinted>
  <dcterms:created xsi:type="dcterms:W3CDTF">2022-12-01T20:51:00Z</dcterms:created>
  <dcterms:modified xsi:type="dcterms:W3CDTF">2022-12-01T20:51:00Z</dcterms:modified>
</cp:coreProperties>
</file>