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6FBC0" w14:textId="77777777" w:rsidR="005204F5" w:rsidRDefault="005204F5" w:rsidP="005204F5">
      <w:pPr>
        <w:jc w:val="center"/>
        <w:rPr>
          <w:sz w:val="40"/>
          <w:szCs w:val="40"/>
        </w:rPr>
      </w:pPr>
    </w:p>
    <w:p w14:paraId="5A4E2C01" w14:textId="7E06D06E" w:rsidR="005204F5" w:rsidRDefault="005204F5" w:rsidP="005204F5">
      <w:pPr>
        <w:jc w:val="center"/>
        <w:rPr>
          <w:sz w:val="40"/>
          <w:szCs w:val="40"/>
        </w:rPr>
      </w:pPr>
      <w:r w:rsidRPr="005204F5">
        <w:rPr>
          <w:sz w:val="40"/>
          <w:szCs w:val="40"/>
        </w:rPr>
        <w:t>Oregon Interstate Compact State Council Meeting</w:t>
      </w:r>
    </w:p>
    <w:p w14:paraId="3A6CA270" w14:textId="137CA741" w:rsidR="00FB723A" w:rsidRPr="005204F5" w:rsidRDefault="00437CD8" w:rsidP="00FB723A">
      <w:pPr>
        <w:jc w:val="center"/>
        <w:rPr>
          <w:b/>
        </w:rPr>
      </w:pPr>
      <w:r>
        <w:rPr>
          <w:b/>
        </w:rPr>
        <w:t>November 7</w:t>
      </w:r>
      <w:r w:rsidRPr="00437CD8">
        <w:rPr>
          <w:b/>
          <w:vertAlign w:val="superscript"/>
        </w:rPr>
        <w:t>th</w:t>
      </w:r>
      <w:r w:rsidR="00214B36">
        <w:rPr>
          <w:b/>
        </w:rPr>
        <w:t xml:space="preserve">, </w:t>
      </w:r>
      <w:proofErr w:type="gramStart"/>
      <w:r w:rsidR="00E54646">
        <w:rPr>
          <w:b/>
        </w:rPr>
        <w:t>2024,</w:t>
      </w:r>
      <w:r w:rsidR="005B36FF" w:rsidRPr="005204F5">
        <w:rPr>
          <w:b/>
        </w:rPr>
        <w:t xml:space="preserve">   </w:t>
      </w:r>
      <w:proofErr w:type="gramEnd"/>
      <w:r>
        <w:rPr>
          <w:b/>
        </w:rPr>
        <w:t>10:30-12:00pm</w:t>
      </w:r>
    </w:p>
    <w:p w14:paraId="74A07FBF" w14:textId="77777777" w:rsidR="00DD54A1" w:rsidRPr="005204F5" w:rsidRDefault="00DD54A1" w:rsidP="00FB723A">
      <w:pPr>
        <w:jc w:val="center"/>
        <w:rPr>
          <w:b/>
        </w:rPr>
      </w:pPr>
    </w:p>
    <w:p w14:paraId="4C51BE9E" w14:textId="77777777" w:rsidR="00FB723A" w:rsidRPr="005204F5" w:rsidRDefault="00FB723A" w:rsidP="00FB723A">
      <w:pPr>
        <w:jc w:val="center"/>
        <w:rPr>
          <w:b/>
          <w:u w:val="single"/>
        </w:rPr>
      </w:pPr>
      <w:r w:rsidRPr="005204F5">
        <w:rPr>
          <w:b/>
          <w:u w:val="single"/>
        </w:rPr>
        <w:t>MEETING LOCATION:</w:t>
      </w:r>
    </w:p>
    <w:p w14:paraId="770A9387" w14:textId="7CB24100" w:rsidR="00035A9A" w:rsidRPr="005204F5" w:rsidRDefault="005204F5" w:rsidP="00035A9A">
      <w:pPr>
        <w:jc w:val="center"/>
        <w:rPr>
          <w:sz w:val="22"/>
          <w:szCs w:val="22"/>
        </w:rPr>
      </w:pPr>
      <w:r w:rsidRPr="005204F5">
        <w:rPr>
          <w:sz w:val="22"/>
          <w:szCs w:val="22"/>
        </w:rPr>
        <w:t>MS Team Video Conference</w:t>
      </w:r>
    </w:p>
    <w:p w14:paraId="71C6E444" w14:textId="77777777" w:rsidR="00A12675" w:rsidRPr="00DD54A1" w:rsidRDefault="00A12675" w:rsidP="00FB723A"/>
    <w:p w14:paraId="1C721A0A" w14:textId="47D644AE" w:rsidR="00254375" w:rsidRPr="005204F5" w:rsidRDefault="005204F5" w:rsidP="00254375">
      <w:pPr>
        <w:jc w:val="center"/>
        <w:rPr>
          <w:sz w:val="22"/>
          <w:szCs w:val="22"/>
        </w:rPr>
      </w:pPr>
      <w:r w:rsidRPr="005204F5">
        <w:rPr>
          <w:sz w:val="22"/>
          <w:szCs w:val="22"/>
        </w:rPr>
        <w:t>Attendees</w:t>
      </w:r>
      <w:r w:rsidR="00254375">
        <w:rPr>
          <w:sz w:val="22"/>
          <w:szCs w:val="22"/>
        </w:rPr>
        <w:t xml:space="preserve">  </w:t>
      </w:r>
    </w:p>
    <w:p w14:paraId="1AD192A4" w14:textId="74F36C66" w:rsidR="005204F5" w:rsidRDefault="005204F5" w:rsidP="007101F2">
      <w:pPr>
        <w:jc w:val="center"/>
        <w:rPr>
          <w:sz w:val="20"/>
        </w:rPr>
      </w:pPr>
    </w:p>
    <w:tbl>
      <w:tblPr>
        <w:tblStyle w:val="TableGrid"/>
        <w:tblW w:w="0" w:type="auto"/>
        <w:jc w:val="center"/>
        <w:tblLook w:val="04A0" w:firstRow="1" w:lastRow="0" w:firstColumn="1" w:lastColumn="0" w:noHBand="0" w:noVBand="1"/>
      </w:tblPr>
      <w:tblGrid>
        <w:gridCol w:w="2965"/>
        <w:gridCol w:w="1350"/>
        <w:gridCol w:w="3510"/>
      </w:tblGrid>
      <w:tr w:rsidR="00D87E0E" w:rsidRPr="00D87E0E" w14:paraId="6D878AB0" w14:textId="77777777" w:rsidTr="00513B07">
        <w:trPr>
          <w:jc w:val="center"/>
        </w:trPr>
        <w:tc>
          <w:tcPr>
            <w:tcW w:w="2965" w:type="dxa"/>
          </w:tcPr>
          <w:p w14:paraId="39A58038" w14:textId="77777777" w:rsidR="00D87E0E" w:rsidRPr="00D87E0E" w:rsidRDefault="00D87E0E" w:rsidP="00D87E0E">
            <w:pPr>
              <w:jc w:val="center"/>
              <w:rPr>
                <w:sz w:val="20"/>
              </w:rPr>
            </w:pPr>
            <w:r w:rsidRPr="00D87E0E">
              <w:rPr>
                <w:sz w:val="20"/>
              </w:rPr>
              <w:t>Name</w:t>
            </w:r>
          </w:p>
        </w:tc>
        <w:tc>
          <w:tcPr>
            <w:tcW w:w="1350" w:type="dxa"/>
          </w:tcPr>
          <w:p w14:paraId="1D34AC6D" w14:textId="77777777" w:rsidR="00D87E0E" w:rsidRPr="00D87E0E" w:rsidRDefault="00D87E0E" w:rsidP="00D87E0E">
            <w:pPr>
              <w:jc w:val="center"/>
              <w:rPr>
                <w:sz w:val="20"/>
              </w:rPr>
            </w:pPr>
            <w:r w:rsidRPr="00D87E0E">
              <w:rPr>
                <w:sz w:val="20"/>
              </w:rPr>
              <w:t>Title</w:t>
            </w:r>
          </w:p>
        </w:tc>
        <w:tc>
          <w:tcPr>
            <w:tcW w:w="3510" w:type="dxa"/>
          </w:tcPr>
          <w:p w14:paraId="08C7A166" w14:textId="77777777" w:rsidR="00D87E0E" w:rsidRPr="00D87E0E" w:rsidRDefault="00D87E0E" w:rsidP="00D87E0E">
            <w:pPr>
              <w:jc w:val="center"/>
              <w:rPr>
                <w:sz w:val="20"/>
              </w:rPr>
            </w:pPr>
            <w:r w:rsidRPr="00D87E0E">
              <w:rPr>
                <w:sz w:val="20"/>
              </w:rPr>
              <w:t>Representing</w:t>
            </w:r>
          </w:p>
        </w:tc>
      </w:tr>
      <w:tr w:rsidR="00D87E0E" w:rsidRPr="00D87E0E" w14:paraId="1EFB501F" w14:textId="77777777" w:rsidTr="00513B07">
        <w:trPr>
          <w:jc w:val="center"/>
        </w:trPr>
        <w:tc>
          <w:tcPr>
            <w:tcW w:w="2965" w:type="dxa"/>
          </w:tcPr>
          <w:p w14:paraId="03E06A77" w14:textId="77777777" w:rsidR="00D87E0E" w:rsidRPr="00D87E0E" w:rsidRDefault="00D87E0E" w:rsidP="00D87E0E">
            <w:pPr>
              <w:jc w:val="center"/>
              <w:rPr>
                <w:sz w:val="20"/>
              </w:rPr>
            </w:pPr>
            <w:r w:rsidRPr="00D87E0E">
              <w:rPr>
                <w:sz w:val="20"/>
              </w:rPr>
              <w:t>Stromberg, Jeremiah</w:t>
            </w:r>
          </w:p>
        </w:tc>
        <w:tc>
          <w:tcPr>
            <w:tcW w:w="1350" w:type="dxa"/>
          </w:tcPr>
          <w:p w14:paraId="536119B1" w14:textId="77777777" w:rsidR="00D87E0E" w:rsidRPr="00D87E0E" w:rsidRDefault="00D87E0E" w:rsidP="00D87E0E">
            <w:pPr>
              <w:jc w:val="center"/>
              <w:rPr>
                <w:sz w:val="20"/>
              </w:rPr>
            </w:pPr>
            <w:r w:rsidRPr="00D87E0E">
              <w:rPr>
                <w:sz w:val="20"/>
              </w:rPr>
              <w:t>Chair</w:t>
            </w:r>
          </w:p>
        </w:tc>
        <w:tc>
          <w:tcPr>
            <w:tcW w:w="3510" w:type="dxa"/>
          </w:tcPr>
          <w:p w14:paraId="4F23798F" w14:textId="77777777" w:rsidR="00D87E0E" w:rsidRPr="00D87E0E" w:rsidRDefault="00D87E0E" w:rsidP="00D87E0E">
            <w:pPr>
              <w:jc w:val="center"/>
              <w:rPr>
                <w:sz w:val="20"/>
              </w:rPr>
            </w:pPr>
            <w:r w:rsidRPr="00D87E0E">
              <w:rPr>
                <w:sz w:val="20"/>
              </w:rPr>
              <w:t>Commissioner</w:t>
            </w:r>
          </w:p>
        </w:tc>
      </w:tr>
      <w:tr w:rsidR="00D87E0E" w:rsidRPr="00D87E0E" w14:paraId="1D3F42D1" w14:textId="77777777" w:rsidTr="00513B07">
        <w:trPr>
          <w:jc w:val="center"/>
        </w:trPr>
        <w:tc>
          <w:tcPr>
            <w:tcW w:w="2965" w:type="dxa"/>
          </w:tcPr>
          <w:p w14:paraId="2A3D81B1" w14:textId="77777777" w:rsidR="00D87E0E" w:rsidRPr="00D87E0E" w:rsidRDefault="00D87E0E" w:rsidP="00D87E0E">
            <w:pPr>
              <w:jc w:val="center"/>
              <w:rPr>
                <w:sz w:val="20"/>
              </w:rPr>
            </w:pPr>
            <w:r w:rsidRPr="00D87E0E">
              <w:rPr>
                <w:sz w:val="20"/>
              </w:rPr>
              <w:t xml:space="preserve">Patterson, Mark </w:t>
            </w:r>
          </w:p>
        </w:tc>
        <w:tc>
          <w:tcPr>
            <w:tcW w:w="1350" w:type="dxa"/>
          </w:tcPr>
          <w:p w14:paraId="14A52145" w14:textId="77777777" w:rsidR="00D87E0E" w:rsidRPr="00D87E0E" w:rsidRDefault="00D87E0E" w:rsidP="00D87E0E">
            <w:pPr>
              <w:jc w:val="center"/>
              <w:rPr>
                <w:sz w:val="20"/>
              </w:rPr>
            </w:pPr>
            <w:r w:rsidRPr="00D87E0E">
              <w:rPr>
                <w:sz w:val="20"/>
              </w:rPr>
              <w:t>Vice-Chair</w:t>
            </w:r>
          </w:p>
        </w:tc>
        <w:tc>
          <w:tcPr>
            <w:tcW w:w="3510" w:type="dxa"/>
          </w:tcPr>
          <w:p w14:paraId="1DFA0FDD" w14:textId="77777777" w:rsidR="00D87E0E" w:rsidRPr="00D87E0E" w:rsidRDefault="00D87E0E" w:rsidP="00D87E0E">
            <w:pPr>
              <w:jc w:val="center"/>
              <w:rPr>
                <w:sz w:val="20"/>
              </w:rPr>
            </w:pPr>
            <w:r w:rsidRPr="00D87E0E">
              <w:rPr>
                <w:sz w:val="20"/>
              </w:rPr>
              <w:t>DCA</w:t>
            </w:r>
          </w:p>
        </w:tc>
      </w:tr>
      <w:tr w:rsidR="00D87E0E" w:rsidRPr="00D87E0E" w14:paraId="0B300775" w14:textId="77777777" w:rsidTr="00513B07">
        <w:trPr>
          <w:jc w:val="center"/>
        </w:trPr>
        <w:tc>
          <w:tcPr>
            <w:tcW w:w="2965" w:type="dxa"/>
          </w:tcPr>
          <w:p w14:paraId="1EF301E0" w14:textId="7A8E7A51" w:rsidR="00D87E0E" w:rsidRPr="00E6140F" w:rsidRDefault="00214B36" w:rsidP="00E6140F">
            <w:pPr>
              <w:pStyle w:val="ListParagraph"/>
              <w:rPr>
                <w:sz w:val="20"/>
              </w:rPr>
            </w:pPr>
            <w:r>
              <w:rPr>
                <w:sz w:val="20"/>
              </w:rPr>
              <w:t>*</w:t>
            </w:r>
            <w:r w:rsidR="00EC2283" w:rsidRPr="00E6140F">
              <w:rPr>
                <w:sz w:val="20"/>
              </w:rPr>
              <w:t>Becker, Megan</w:t>
            </w:r>
          </w:p>
        </w:tc>
        <w:tc>
          <w:tcPr>
            <w:tcW w:w="1350" w:type="dxa"/>
          </w:tcPr>
          <w:p w14:paraId="6B9BBFD2" w14:textId="77777777" w:rsidR="00D87E0E" w:rsidRPr="00D87E0E" w:rsidRDefault="00D87E0E" w:rsidP="00D87E0E">
            <w:pPr>
              <w:jc w:val="center"/>
              <w:rPr>
                <w:sz w:val="20"/>
              </w:rPr>
            </w:pPr>
            <w:r w:rsidRPr="00D87E0E">
              <w:rPr>
                <w:sz w:val="20"/>
              </w:rPr>
              <w:t>Secretary</w:t>
            </w:r>
          </w:p>
        </w:tc>
        <w:tc>
          <w:tcPr>
            <w:tcW w:w="3510" w:type="dxa"/>
          </w:tcPr>
          <w:p w14:paraId="511AC623" w14:textId="77777777" w:rsidR="00D87E0E" w:rsidRPr="00D87E0E" w:rsidRDefault="00D87E0E" w:rsidP="00D87E0E">
            <w:pPr>
              <w:jc w:val="center"/>
              <w:rPr>
                <w:sz w:val="20"/>
              </w:rPr>
            </w:pPr>
            <w:r w:rsidRPr="00D87E0E">
              <w:rPr>
                <w:sz w:val="20"/>
              </w:rPr>
              <w:t>Support</w:t>
            </w:r>
          </w:p>
        </w:tc>
      </w:tr>
      <w:tr w:rsidR="00D87E0E" w:rsidRPr="00D87E0E" w14:paraId="4D76E30E" w14:textId="77777777" w:rsidTr="00513B07">
        <w:trPr>
          <w:jc w:val="center"/>
        </w:trPr>
        <w:tc>
          <w:tcPr>
            <w:tcW w:w="2965" w:type="dxa"/>
          </w:tcPr>
          <w:p w14:paraId="4C9AC5B5" w14:textId="0BFA995E" w:rsidR="00D87E0E" w:rsidRPr="00D87E0E" w:rsidRDefault="00763CB7" w:rsidP="00D87E0E">
            <w:pPr>
              <w:jc w:val="center"/>
              <w:rPr>
                <w:sz w:val="20"/>
              </w:rPr>
            </w:pPr>
            <w:r>
              <w:rPr>
                <w:sz w:val="20"/>
              </w:rPr>
              <w:t>Vacant</w:t>
            </w:r>
          </w:p>
        </w:tc>
        <w:tc>
          <w:tcPr>
            <w:tcW w:w="1350" w:type="dxa"/>
          </w:tcPr>
          <w:p w14:paraId="689F7F0D" w14:textId="77777777" w:rsidR="00D87E0E" w:rsidRPr="00D87E0E" w:rsidRDefault="00D87E0E" w:rsidP="00D87E0E">
            <w:pPr>
              <w:jc w:val="center"/>
              <w:rPr>
                <w:sz w:val="20"/>
              </w:rPr>
            </w:pPr>
          </w:p>
        </w:tc>
        <w:tc>
          <w:tcPr>
            <w:tcW w:w="3510" w:type="dxa"/>
          </w:tcPr>
          <w:p w14:paraId="49DA0ECE" w14:textId="77777777" w:rsidR="00D87E0E" w:rsidRPr="00D87E0E" w:rsidRDefault="00D87E0E" w:rsidP="00D87E0E">
            <w:pPr>
              <w:jc w:val="center"/>
              <w:rPr>
                <w:sz w:val="20"/>
              </w:rPr>
            </w:pPr>
            <w:r w:rsidRPr="00D87E0E">
              <w:rPr>
                <w:sz w:val="20"/>
              </w:rPr>
              <w:t>District Attorney</w:t>
            </w:r>
          </w:p>
        </w:tc>
      </w:tr>
      <w:tr w:rsidR="00D87E0E" w:rsidRPr="00D87E0E" w14:paraId="1A7F794E" w14:textId="77777777" w:rsidTr="00513B07">
        <w:trPr>
          <w:jc w:val="center"/>
        </w:trPr>
        <w:tc>
          <w:tcPr>
            <w:tcW w:w="2965" w:type="dxa"/>
          </w:tcPr>
          <w:p w14:paraId="64F17157" w14:textId="3E490657" w:rsidR="00D87E0E" w:rsidRPr="00D87E0E" w:rsidRDefault="00D87E0E" w:rsidP="00D87E0E">
            <w:pPr>
              <w:jc w:val="center"/>
              <w:rPr>
                <w:sz w:val="20"/>
              </w:rPr>
            </w:pPr>
            <w:r w:rsidRPr="00D87E0E">
              <w:rPr>
                <w:sz w:val="20"/>
              </w:rPr>
              <w:t>Judge Kelly Skye</w:t>
            </w:r>
          </w:p>
        </w:tc>
        <w:tc>
          <w:tcPr>
            <w:tcW w:w="1350" w:type="dxa"/>
          </w:tcPr>
          <w:p w14:paraId="1D960DF8" w14:textId="77777777" w:rsidR="00D87E0E" w:rsidRPr="00D87E0E" w:rsidRDefault="00D87E0E" w:rsidP="00D87E0E">
            <w:pPr>
              <w:jc w:val="center"/>
              <w:rPr>
                <w:sz w:val="20"/>
              </w:rPr>
            </w:pPr>
          </w:p>
        </w:tc>
        <w:tc>
          <w:tcPr>
            <w:tcW w:w="3510" w:type="dxa"/>
          </w:tcPr>
          <w:p w14:paraId="20A2A422" w14:textId="77777777" w:rsidR="00D87E0E" w:rsidRPr="00D87E0E" w:rsidRDefault="00D87E0E" w:rsidP="00D87E0E">
            <w:pPr>
              <w:jc w:val="center"/>
              <w:rPr>
                <w:sz w:val="20"/>
              </w:rPr>
            </w:pPr>
            <w:r w:rsidRPr="00D87E0E">
              <w:rPr>
                <w:sz w:val="20"/>
              </w:rPr>
              <w:t>Judicial</w:t>
            </w:r>
          </w:p>
        </w:tc>
      </w:tr>
      <w:tr w:rsidR="00D87E0E" w:rsidRPr="00D87E0E" w14:paraId="13FDE03D" w14:textId="77777777" w:rsidTr="00513B07">
        <w:trPr>
          <w:jc w:val="center"/>
        </w:trPr>
        <w:tc>
          <w:tcPr>
            <w:tcW w:w="2965" w:type="dxa"/>
          </w:tcPr>
          <w:p w14:paraId="275D6DB8" w14:textId="5560D252" w:rsidR="00D87E0E" w:rsidRPr="00D87E0E" w:rsidRDefault="00D87E0E" w:rsidP="00D87E0E">
            <w:pPr>
              <w:jc w:val="center"/>
              <w:rPr>
                <w:sz w:val="20"/>
              </w:rPr>
            </w:pPr>
            <w:r w:rsidRPr="00D87E0E">
              <w:rPr>
                <w:sz w:val="20"/>
              </w:rPr>
              <w:t>Townsend, Nicole</w:t>
            </w:r>
          </w:p>
        </w:tc>
        <w:tc>
          <w:tcPr>
            <w:tcW w:w="1350" w:type="dxa"/>
          </w:tcPr>
          <w:p w14:paraId="4646F127" w14:textId="77777777" w:rsidR="00D87E0E" w:rsidRPr="00D87E0E" w:rsidRDefault="00D87E0E" w:rsidP="00D87E0E">
            <w:pPr>
              <w:jc w:val="center"/>
              <w:rPr>
                <w:sz w:val="20"/>
              </w:rPr>
            </w:pPr>
          </w:p>
        </w:tc>
        <w:tc>
          <w:tcPr>
            <w:tcW w:w="3510" w:type="dxa"/>
          </w:tcPr>
          <w:p w14:paraId="2A9E3FAF" w14:textId="77777777" w:rsidR="00D87E0E" w:rsidRPr="00D87E0E" w:rsidRDefault="00D87E0E" w:rsidP="00D87E0E">
            <w:pPr>
              <w:jc w:val="center"/>
              <w:rPr>
                <w:sz w:val="20"/>
              </w:rPr>
            </w:pPr>
            <w:r w:rsidRPr="00D87E0E">
              <w:rPr>
                <w:sz w:val="20"/>
              </w:rPr>
              <w:t>Governor’s Appointment</w:t>
            </w:r>
          </w:p>
        </w:tc>
      </w:tr>
      <w:tr w:rsidR="00D87E0E" w:rsidRPr="00D87E0E" w14:paraId="69161C03" w14:textId="77777777" w:rsidTr="00513B07">
        <w:trPr>
          <w:jc w:val="center"/>
        </w:trPr>
        <w:tc>
          <w:tcPr>
            <w:tcW w:w="2965" w:type="dxa"/>
          </w:tcPr>
          <w:p w14:paraId="0D903877" w14:textId="6FD6F9BA" w:rsidR="00D87E0E" w:rsidRPr="00D87E0E" w:rsidRDefault="00D87E0E" w:rsidP="00D87E0E">
            <w:pPr>
              <w:jc w:val="center"/>
              <w:rPr>
                <w:sz w:val="20"/>
              </w:rPr>
            </w:pPr>
            <w:r w:rsidRPr="00D87E0E">
              <w:rPr>
                <w:sz w:val="20"/>
              </w:rPr>
              <w:t>Chrisemer, Annette</w:t>
            </w:r>
          </w:p>
        </w:tc>
        <w:tc>
          <w:tcPr>
            <w:tcW w:w="1350" w:type="dxa"/>
          </w:tcPr>
          <w:p w14:paraId="70D2D876" w14:textId="77777777" w:rsidR="00D87E0E" w:rsidRPr="00D87E0E" w:rsidRDefault="00D87E0E" w:rsidP="00D87E0E">
            <w:pPr>
              <w:jc w:val="center"/>
              <w:rPr>
                <w:sz w:val="20"/>
              </w:rPr>
            </w:pPr>
          </w:p>
        </w:tc>
        <w:tc>
          <w:tcPr>
            <w:tcW w:w="3510" w:type="dxa"/>
          </w:tcPr>
          <w:p w14:paraId="63C71FA6" w14:textId="77777777" w:rsidR="00D87E0E" w:rsidRPr="00D87E0E" w:rsidRDefault="00D87E0E" w:rsidP="00D87E0E">
            <w:pPr>
              <w:jc w:val="center"/>
              <w:rPr>
                <w:sz w:val="20"/>
              </w:rPr>
            </w:pPr>
            <w:r w:rsidRPr="00D87E0E">
              <w:rPr>
                <w:sz w:val="20"/>
              </w:rPr>
              <w:t>Victim Representative</w:t>
            </w:r>
          </w:p>
        </w:tc>
      </w:tr>
      <w:tr w:rsidR="00D87E0E" w:rsidRPr="00D87E0E" w14:paraId="44D50566" w14:textId="77777777" w:rsidTr="00513B07">
        <w:trPr>
          <w:jc w:val="center"/>
        </w:trPr>
        <w:tc>
          <w:tcPr>
            <w:tcW w:w="2965" w:type="dxa"/>
          </w:tcPr>
          <w:p w14:paraId="455829B6" w14:textId="25374FC1" w:rsidR="00D87E0E" w:rsidRPr="00D87E0E" w:rsidRDefault="00D87E0E" w:rsidP="00D87E0E">
            <w:pPr>
              <w:jc w:val="center"/>
              <w:rPr>
                <w:sz w:val="20"/>
              </w:rPr>
            </w:pPr>
            <w:r w:rsidRPr="00D87E0E">
              <w:rPr>
                <w:sz w:val="20"/>
              </w:rPr>
              <w:t>Senator Floyd Prozanski</w:t>
            </w:r>
          </w:p>
        </w:tc>
        <w:tc>
          <w:tcPr>
            <w:tcW w:w="1350" w:type="dxa"/>
          </w:tcPr>
          <w:p w14:paraId="6245107E" w14:textId="77777777" w:rsidR="00D87E0E" w:rsidRPr="00D87E0E" w:rsidRDefault="00D87E0E" w:rsidP="00D87E0E">
            <w:pPr>
              <w:jc w:val="center"/>
              <w:rPr>
                <w:sz w:val="20"/>
              </w:rPr>
            </w:pPr>
          </w:p>
        </w:tc>
        <w:tc>
          <w:tcPr>
            <w:tcW w:w="3510" w:type="dxa"/>
          </w:tcPr>
          <w:p w14:paraId="0E96A8C3" w14:textId="77777777" w:rsidR="00D87E0E" w:rsidRPr="00D87E0E" w:rsidRDefault="00D87E0E" w:rsidP="00D87E0E">
            <w:pPr>
              <w:jc w:val="center"/>
              <w:rPr>
                <w:sz w:val="20"/>
              </w:rPr>
            </w:pPr>
            <w:r w:rsidRPr="00D87E0E">
              <w:rPr>
                <w:sz w:val="20"/>
              </w:rPr>
              <w:t>Senate Appointment</w:t>
            </w:r>
          </w:p>
        </w:tc>
      </w:tr>
      <w:tr w:rsidR="00D87E0E" w:rsidRPr="00D87E0E" w14:paraId="45DB9A3D" w14:textId="77777777" w:rsidTr="00513B07">
        <w:trPr>
          <w:jc w:val="center"/>
        </w:trPr>
        <w:tc>
          <w:tcPr>
            <w:tcW w:w="2965" w:type="dxa"/>
          </w:tcPr>
          <w:p w14:paraId="5E5A34C2" w14:textId="734CA14A" w:rsidR="00D87E0E" w:rsidRPr="00D87E0E" w:rsidRDefault="00D87E0E" w:rsidP="00D87E0E">
            <w:pPr>
              <w:jc w:val="center"/>
              <w:rPr>
                <w:sz w:val="20"/>
              </w:rPr>
            </w:pPr>
            <w:r w:rsidRPr="00D87E0E">
              <w:rPr>
                <w:sz w:val="20"/>
              </w:rPr>
              <w:t>Greer, Jake</w:t>
            </w:r>
          </w:p>
        </w:tc>
        <w:tc>
          <w:tcPr>
            <w:tcW w:w="1350" w:type="dxa"/>
          </w:tcPr>
          <w:p w14:paraId="45A6F0AF" w14:textId="77777777" w:rsidR="00D87E0E" w:rsidRPr="00D87E0E" w:rsidRDefault="00D87E0E" w:rsidP="00D87E0E">
            <w:pPr>
              <w:jc w:val="center"/>
              <w:rPr>
                <w:sz w:val="20"/>
              </w:rPr>
            </w:pPr>
          </w:p>
        </w:tc>
        <w:tc>
          <w:tcPr>
            <w:tcW w:w="3510" w:type="dxa"/>
          </w:tcPr>
          <w:p w14:paraId="306C4D3B" w14:textId="77777777" w:rsidR="00D87E0E" w:rsidRPr="00D87E0E" w:rsidRDefault="00D87E0E" w:rsidP="00D87E0E">
            <w:pPr>
              <w:jc w:val="center"/>
              <w:rPr>
                <w:sz w:val="20"/>
              </w:rPr>
            </w:pPr>
            <w:r w:rsidRPr="00D87E0E">
              <w:rPr>
                <w:sz w:val="20"/>
              </w:rPr>
              <w:t>OACCD, Lake Co Director</w:t>
            </w:r>
          </w:p>
        </w:tc>
      </w:tr>
      <w:tr w:rsidR="00D87E0E" w:rsidRPr="00D87E0E" w14:paraId="7B7872E1" w14:textId="77777777" w:rsidTr="00513B07">
        <w:trPr>
          <w:jc w:val="center"/>
        </w:trPr>
        <w:tc>
          <w:tcPr>
            <w:tcW w:w="2965" w:type="dxa"/>
          </w:tcPr>
          <w:p w14:paraId="14B8ECC8" w14:textId="292893A9" w:rsidR="00D87E0E" w:rsidRPr="004F036B" w:rsidRDefault="00D87E0E" w:rsidP="004F036B">
            <w:pPr>
              <w:pStyle w:val="ListParagraph"/>
              <w:rPr>
                <w:sz w:val="20"/>
              </w:rPr>
            </w:pPr>
            <w:r w:rsidRPr="004F036B">
              <w:rPr>
                <w:sz w:val="20"/>
              </w:rPr>
              <w:t xml:space="preserve">Severe, Constantin </w:t>
            </w:r>
          </w:p>
        </w:tc>
        <w:tc>
          <w:tcPr>
            <w:tcW w:w="1350" w:type="dxa"/>
          </w:tcPr>
          <w:p w14:paraId="1560673C" w14:textId="77777777" w:rsidR="00D87E0E" w:rsidRPr="00D87E0E" w:rsidRDefault="00D87E0E" w:rsidP="00D87E0E">
            <w:pPr>
              <w:jc w:val="center"/>
              <w:rPr>
                <w:sz w:val="20"/>
              </w:rPr>
            </w:pPr>
          </w:p>
        </w:tc>
        <w:tc>
          <w:tcPr>
            <w:tcW w:w="3510" w:type="dxa"/>
          </w:tcPr>
          <w:p w14:paraId="2E653394" w14:textId="77777777" w:rsidR="00D87E0E" w:rsidRPr="00D87E0E" w:rsidRDefault="00D87E0E" w:rsidP="00D87E0E">
            <w:pPr>
              <w:jc w:val="center"/>
              <w:rPr>
                <w:sz w:val="20"/>
              </w:rPr>
            </w:pPr>
            <w:r w:rsidRPr="00D87E0E">
              <w:rPr>
                <w:sz w:val="20"/>
              </w:rPr>
              <w:t>Governor’s Appointment</w:t>
            </w:r>
          </w:p>
        </w:tc>
      </w:tr>
      <w:tr w:rsidR="00EC2283" w:rsidRPr="00D87E0E" w14:paraId="32D4F128" w14:textId="77777777" w:rsidTr="00513B07">
        <w:trPr>
          <w:jc w:val="center"/>
        </w:trPr>
        <w:tc>
          <w:tcPr>
            <w:tcW w:w="2965" w:type="dxa"/>
          </w:tcPr>
          <w:p w14:paraId="34EC6E75" w14:textId="5FC50057" w:rsidR="00EC2283" w:rsidRPr="00D87E0E" w:rsidRDefault="00EC2283" w:rsidP="00D87E0E">
            <w:pPr>
              <w:jc w:val="center"/>
              <w:rPr>
                <w:sz w:val="20"/>
              </w:rPr>
            </w:pPr>
            <w:r>
              <w:rPr>
                <w:sz w:val="20"/>
              </w:rPr>
              <w:t>Belli, Nina</w:t>
            </w:r>
          </w:p>
        </w:tc>
        <w:tc>
          <w:tcPr>
            <w:tcW w:w="1350" w:type="dxa"/>
          </w:tcPr>
          <w:p w14:paraId="6D565D10" w14:textId="77777777" w:rsidR="00EC2283" w:rsidRPr="00D87E0E" w:rsidRDefault="00EC2283" w:rsidP="00D87E0E">
            <w:pPr>
              <w:jc w:val="center"/>
              <w:rPr>
                <w:sz w:val="20"/>
              </w:rPr>
            </w:pPr>
          </w:p>
        </w:tc>
        <w:tc>
          <w:tcPr>
            <w:tcW w:w="3510" w:type="dxa"/>
          </w:tcPr>
          <w:p w14:paraId="253D117F" w14:textId="0F5F3367" w:rsidR="00EC2283" w:rsidRPr="00D87E0E" w:rsidRDefault="00E6140F" w:rsidP="00E6140F">
            <w:pPr>
              <w:rPr>
                <w:sz w:val="20"/>
              </w:rPr>
            </w:pPr>
            <w:r>
              <w:rPr>
                <w:sz w:val="20"/>
              </w:rPr>
              <w:t xml:space="preserve">       Juvenile Compact Commissioner</w:t>
            </w:r>
          </w:p>
        </w:tc>
      </w:tr>
      <w:tr w:rsidR="003E6902" w:rsidRPr="00D87E0E" w14:paraId="14009E8F" w14:textId="77777777" w:rsidTr="00513B07">
        <w:trPr>
          <w:jc w:val="center"/>
        </w:trPr>
        <w:tc>
          <w:tcPr>
            <w:tcW w:w="2965" w:type="dxa"/>
          </w:tcPr>
          <w:p w14:paraId="3DCD5125" w14:textId="55FB6A44" w:rsidR="003E6902" w:rsidRDefault="003E6902" w:rsidP="00D87E0E">
            <w:pPr>
              <w:jc w:val="center"/>
              <w:rPr>
                <w:sz w:val="20"/>
              </w:rPr>
            </w:pPr>
            <w:r>
              <w:rPr>
                <w:sz w:val="20"/>
              </w:rPr>
              <w:t>Alder, Charles</w:t>
            </w:r>
          </w:p>
        </w:tc>
        <w:tc>
          <w:tcPr>
            <w:tcW w:w="1350" w:type="dxa"/>
          </w:tcPr>
          <w:p w14:paraId="08AECAA4" w14:textId="77777777" w:rsidR="003E6902" w:rsidRPr="00D87E0E" w:rsidRDefault="003E6902" w:rsidP="00D87E0E">
            <w:pPr>
              <w:jc w:val="center"/>
              <w:rPr>
                <w:sz w:val="20"/>
              </w:rPr>
            </w:pPr>
          </w:p>
        </w:tc>
        <w:tc>
          <w:tcPr>
            <w:tcW w:w="3510" w:type="dxa"/>
          </w:tcPr>
          <w:p w14:paraId="34A0B305" w14:textId="00D6C9EB" w:rsidR="003E6902" w:rsidRDefault="00E6140F" w:rsidP="00D87E0E">
            <w:pPr>
              <w:jc w:val="center"/>
              <w:rPr>
                <w:sz w:val="20"/>
              </w:rPr>
            </w:pPr>
            <w:r>
              <w:rPr>
                <w:sz w:val="20"/>
              </w:rPr>
              <w:t>OACCD, Multnomah Co</w:t>
            </w:r>
          </w:p>
        </w:tc>
      </w:tr>
    </w:tbl>
    <w:p w14:paraId="3992888E" w14:textId="4708ECBB" w:rsidR="005204F5" w:rsidRDefault="005204F5" w:rsidP="007101F2">
      <w:pPr>
        <w:jc w:val="center"/>
        <w:rPr>
          <w:sz w:val="20"/>
        </w:rPr>
      </w:pPr>
    </w:p>
    <w:p w14:paraId="3C6E95B4" w14:textId="3296C50C" w:rsidR="00D87E0E" w:rsidRDefault="00F95512" w:rsidP="007101F2">
      <w:pPr>
        <w:jc w:val="center"/>
        <w:rPr>
          <w:sz w:val="20"/>
        </w:rPr>
      </w:pPr>
      <w:r>
        <w:rPr>
          <w:sz w:val="20"/>
        </w:rPr>
        <w:t>*Not Present</w:t>
      </w:r>
    </w:p>
    <w:p w14:paraId="609BFAC1" w14:textId="5AEF98B3" w:rsidR="005204F5" w:rsidRDefault="005204F5" w:rsidP="007101F2">
      <w:pPr>
        <w:jc w:val="center"/>
        <w:rPr>
          <w:sz w:val="20"/>
        </w:rPr>
      </w:pPr>
    </w:p>
    <w:p w14:paraId="4BDE154C" w14:textId="77777777" w:rsidR="004F036B" w:rsidRDefault="004F036B" w:rsidP="00E6140F">
      <w:pPr>
        <w:rPr>
          <w:b/>
          <w:bCs/>
        </w:rPr>
      </w:pPr>
    </w:p>
    <w:p w14:paraId="6560D333" w14:textId="277C3E17" w:rsidR="0070126D" w:rsidRPr="00553945" w:rsidRDefault="00E6140F" w:rsidP="0070126D">
      <w:pPr>
        <w:rPr>
          <w:b/>
          <w:bCs/>
          <w:u w:val="single"/>
        </w:rPr>
      </w:pPr>
      <w:r w:rsidRPr="00553945">
        <w:rPr>
          <w:b/>
          <w:bCs/>
          <w:u w:val="single"/>
        </w:rPr>
        <w:t>Introductions</w:t>
      </w:r>
      <w:r w:rsidR="004F036B" w:rsidRPr="00553945">
        <w:rPr>
          <w:b/>
          <w:bCs/>
          <w:u w:val="single"/>
        </w:rPr>
        <w:t>/</w:t>
      </w:r>
      <w:r w:rsidRPr="00553945">
        <w:rPr>
          <w:b/>
          <w:bCs/>
          <w:u w:val="single"/>
        </w:rPr>
        <w:t>Oregon Interstate Compact Update</w:t>
      </w:r>
    </w:p>
    <w:p w14:paraId="45B5BA97" w14:textId="77777777" w:rsidR="00DC43C5" w:rsidRPr="0070126D" w:rsidRDefault="00DC43C5" w:rsidP="0070126D">
      <w:pPr>
        <w:rPr>
          <w:b/>
          <w:bCs/>
        </w:rPr>
      </w:pPr>
    </w:p>
    <w:p w14:paraId="4822724B" w14:textId="77777777" w:rsidR="00DC43C5" w:rsidRPr="004F036B" w:rsidRDefault="00DC43C5" w:rsidP="00DC43C5">
      <w:pPr>
        <w:rPr>
          <w:u w:val="single"/>
        </w:rPr>
      </w:pPr>
      <w:r w:rsidRPr="004F036B">
        <w:rPr>
          <w:u w:val="single"/>
        </w:rPr>
        <w:t xml:space="preserve">Review Compact Structure: </w:t>
      </w:r>
    </w:p>
    <w:p w14:paraId="6C8771E9" w14:textId="7F0E71C2" w:rsidR="00DC43C5" w:rsidRPr="004F036B" w:rsidRDefault="00DC43C5" w:rsidP="00DC43C5">
      <w:r w:rsidRPr="004F036B">
        <w:t>Jeremiah- Commissioner-</w:t>
      </w:r>
      <w:r w:rsidR="00421EC2">
        <w:t xml:space="preserve"> </w:t>
      </w:r>
      <w:r w:rsidRPr="004F036B">
        <w:t>Appointed Interstate Compact Representative for Oregon</w:t>
      </w:r>
    </w:p>
    <w:p w14:paraId="2329E4E4" w14:textId="77777777" w:rsidR="00DC43C5" w:rsidRPr="004F036B" w:rsidRDefault="00DC43C5" w:rsidP="00DC43C5">
      <w:r w:rsidRPr="004F036B">
        <w:t>Mark Patterson-Deputy Compact Administrator</w:t>
      </w:r>
    </w:p>
    <w:p w14:paraId="193ED260" w14:textId="77777777" w:rsidR="00DC43C5" w:rsidRPr="004F036B" w:rsidRDefault="00DC43C5" w:rsidP="00DC43C5">
      <w:r w:rsidRPr="004F036B">
        <w:t xml:space="preserve">Ruby </w:t>
      </w:r>
      <w:proofErr w:type="spellStart"/>
      <w:r w:rsidRPr="004F036B">
        <w:t>McClorey</w:t>
      </w:r>
      <w:proofErr w:type="spellEnd"/>
      <w:r w:rsidRPr="004F036B">
        <w:t>- Lead Interstate Compact Coordinator</w:t>
      </w:r>
    </w:p>
    <w:p w14:paraId="1A1974A9" w14:textId="45CE5D6F" w:rsidR="00DC43C5" w:rsidRPr="004F036B" w:rsidRDefault="00DC43C5" w:rsidP="00DC43C5">
      <w:r w:rsidRPr="004F036B">
        <w:t>Kristi Reames- Interstate Compact Coordinator (A-</w:t>
      </w:r>
      <w:r w:rsidR="005E5688">
        <w:t>L</w:t>
      </w:r>
      <w:r w:rsidRPr="004F036B">
        <w:t xml:space="preserve"> Caseload)</w:t>
      </w:r>
      <w:r w:rsidR="00CE76FA">
        <w:t>. Recipient of the DOC Community Corrections Employee of the Year award (2024)</w:t>
      </w:r>
    </w:p>
    <w:p w14:paraId="5D9D2B52" w14:textId="0C3AA2F9" w:rsidR="00DC43C5" w:rsidRPr="004F036B" w:rsidRDefault="00DC43C5" w:rsidP="00DC43C5">
      <w:r w:rsidRPr="004F036B">
        <w:t>Khris Nunnery- Interstate Compact Coordinator (</w:t>
      </w:r>
      <w:r w:rsidR="005E5688">
        <w:t>M</w:t>
      </w:r>
      <w:r w:rsidRPr="004F036B">
        <w:t>-Z Caseload)</w:t>
      </w:r>
    </w:p>
    <w:p w14:paraId="0D5E9AF9" w14:textId="77777777" w:rsidR="003B405A" w:rsidRDefault="003B405A" w:rsidP="003B405A"/>
    <w:p w14:paraId="465B93C8" w14:textId="77777777" w:rsidR="00DC43C5" w:rsidRPr="00AB540A" w:rsidRDefault="00DC43C5" w:rsidP="00DC43C5">
      <w:pPr>
        <w:rPr>
          <w:u w:val="single"/>
        </w:rPr>
      </w:pPr>
      <w:r w:rsidRPr="00AB540A">
        <w:rPr>
          <w:u w:val="single"/>
        </w:rPr>
        <w:t xml:space="preserve">Oregon Compact Stats: </w:t>
      </w:r>
    </w:p>
    <w:p w14:paraId="4241341A" w14:textId="6939C7E2" w:rsidR="00DC43C5" w:rsidRDefault="005E5688" w:rsidP="00DC43C5">
      <w:r>
        <w:t>5</w:t>
      </w:r>
      <w:r w:rsidR="00CE76FA">
        <w:t>69</w:t>
      </w:r>
      <w:r w:rsidR="00DC43C5">
        <w:t xml:space="preserve"> ICOTS Users</w:t>
      </w:r>
    </w:p>
    <w:p w14:paraId="5A78981E" w14:textId="6F6588D9" w:rsidR="00DC43C5" w:rsidRDefault="00CE76FA" w:rsidP="00DC43C5">
      <w:r>
        <w:t xml:space="preserve">1304 </w:t>
      </w:r>
      <w:r w:rsidR="00DC43C5">
        <w:t>Active Compact offenders supervised in Oregon from other states</w:t>
      </w:r>
      <w:r w:rsidR="00421EC2">
        <w:t xml:space="preserve"> </w:t>
      </w:r>
      <w:r>
        <w:t>(1,265 last year)</w:t>
      </w:r>
    </w:p>
    <w:p w14:paraId="5F70AC76" w14:textId="54CC0996" w:rsidR="00DC43C5" w:rsidRDefault="00CE76FA" w:rsidP="00DC43C5">
      <w:r>
        <w:t>1,237</w:t>
      </w:r>
      <w:r w:rsidR="00DC43C5">
        <w:t xml:space="preserve"> Active Compact offenders supervised in other states from Orego</w:t>
      </w:r>
      <w:r w:rsidR="00421EC2">
        <w:t xml:space="preserve">n </w:t>
      </w:r>
      <w:r>
        <w:t>(1,322 last year)</w:t>
      </w:r>
    </w:p>
    <w:p w14:paraId="0095047C" w14:textId="2157AB32" w:rsidR="00DC43C5" w:rsidRDefault="00DC43C5" w:rsidP="00DC43C5">
      <w:r>
        <w:t>Majority of incoming and outgoing cases are from ID, WA, and CA</w:t>
      </w:r>
    </w:p>
    <w:p w14:paraId="6FD9C5D0" w14:textId="3EDC37DB" w:rsidR="00DC43C5" w:rsidRDefault="00DC43C5" w:rsidP="00DC43C5">
      <w:r>
        <w:t xml:space="preserve">Top 5 Offense Types: </w:t>
      </w:r>
      <w:r w:rsidR="00CE76FA">
        <w:t xml:space="preserve">Dangerous Drugs, DUI, Assault, </w:t>
      </w:r>
      <w:r w:rsidR="00553945">
        <w:t>Burglary, and Amphetamine Possession</w:t>
      </w:r>
    </w:p>
    <w:p w14:paraId="45CF4F0C" w14:textId="0DE738C9" w:rsidR="00CE76FA" w:rsidRDefault="00CE76FA" w:rsidP="00DC43C5">
      <w:r>
        <w:t>Cases by Gender: 85% Male, 15% Female</w:t>
      </w:r>
    </w:p>
    <w:p w14:paraId="1086A252" w14:textId="2C2B22EA" w:rsidR="00DC43C5" w:rsidRDefault="00DC43C5" w:rsidP="00DC43C5">
      <w:r>
        <w:t>Top Reasons: Resident, Family Resident and Employment</w:t>
      </w:r>
    </w:p>
    <w:p w14:paraId="124C9F4A" w14:textId="77777777" w:rsidR="00211D3C" w:rsidRDefault="00B26D62" w:rsidP="003B405A">
      <w:r>
        <w:t>Violation Stats: Top two reason: Abscond and Behavior</w:t>
      </w:r>
    </w:p>
    <w:p w14:paraId="0AC29A0C" w14:textId="77777777" w:rsidR="00211D3C" w:rsidRDefault="00211D3C" w:rsidP="003B405A"/>
    <w:p w14:paraId="1A607513" w14:textId="77777777" w:rsidR="00211D3C" w:rsidRPr="00211D3C" w:rsidRDefault="00211D3C" w:rsidP="003B405A">
      <w:pPr>
        <w:rPr>
          <w:u w:val="single"/>
        </w:rPr>
      </w:pPr>
    </w:p>
    <w:p w14:paraId="2692BA51" w14:textId="669C6F23" w:rsidR="003B405A" w:rsidRPr="00211D3C" w:rsidRDefault="003B405A" w:rsidP="003B405A">
      <w:pPr>
        <w:rPr>
          <w:u w:val="single"/>
        </w:rPr>
      </w:pPr>
      <w:r w:rsidRPr="00211D3C">
        <w:rPr>
          <w:b/>
          <w:bCs/>
          <w:u w:val="single"/>
        </w:rPr>
        <w:t>Oregon Compact Compliance for 202</w:t>
      </w:r>
      <w:r w:rsidR="00214B36" w:rsidRPr="00211D3C">
        <w:rPr>
          <w:b/>
          <w:bCs/>
          <w:u w:val="single"/>
        </w:rPr>
        <w:t>4</w:t>
      </w:r>
      <w:r w:rsidRPr="00211D3C">
        <w:rPr>
          <w:b/>
          <w:bCs/>
          <w:u w:val="single"/>
        </w:rPr>
        <w:t xml:space="preserve"> YTD</w:t>
      </w:r>
    </w:p>
    <w:p w14:paraId="5624552D" w14:textId="77777777" w:rsidR="00DC43C5" w:rsidRDefault="00DC43C5" w:rsidP="00DC43C5">
      <w:pPr>
        <w:rPr>
          <w:b/>
          <w:bCs/>
        </w:rPr>
      </w:pPr>
    </w:p>
    <w:p w14:paraId="4AE48F4A" w14:textId="53F743BD" w:rsidR="00DC43C5" w:rsidRPr="00553945" w:rsidRDefault="00DC43C5" w:rsidP="00DC43C5">
      <w:pPr>
        <w:rPr>
          <w:i/>
          <w:iCs/>
        </w:rPr>
      </w:pPr>
      <w:r w:rsidRPr="00553945">
        <w:rPr>
          <w:i/>
          <w:iCs/>
        </w:rPr>
        <w:t>Compliance Standards and Oregon’s Results 202</w:t>
      </w:r>
      <w:r w:rsidR="00553945" w:rsidRPr="00553945">
        <w:rPr>
          <w:i/>
          <w:iCs/>
        </w:rPr>
        <w:t>4</w:t>
      </w:r>
      <w:r w:rsidRPr="00553945">
        <w:rPr>
          <w:i/>
          <w:iCs/>
        </w:rPr>
        <w:t xml:space="preserve">: (Expected compliance at </w:t>
      </w:r>
      <w:r w:rsidR="00B26D62" w:rsidRPr="00553945">
        <w:rPr>
          <w:i/>
          <w:iCs/>
        </w:rPr>
        <w:t>80</w:t>
      </w:r>
      <w:r w:rsidRPr="00553945">
        <w:rPr>
          <w:i/>
          <w:iCs/>
        </w:rPr>
        <w:t>% for each quarter)</w:t>
      </w:r>
    </w:p>
    <w:p w14:paraId="3D59F1F5" w14:textId="77777777" w:rsidR="00DC43C5" w:rsidRPr="00CF103D" w:rsidRDefault="00DC43C5" w:rsidP="00DC43C5"/>
    <w:p w14:paraId="3EA4294F" w14:textId="4DBFD096" w:rsidR="00DC43C5" w:rsidRPr="00CF103D" w:rsidRDefault="00DC43C5" w:rsidP="00DC43C5">
      <w:r w:rsidRPr="00CF103D">
        <w:lastRenderedPageBreak/>
        <w:t xml:space="preserve">Case Closure: </w:t>
      </w:r>
      <w:r>
        <w:t>9</w:t>
      </w:r>
      <w:r w:rsidR="00553945">
        <w:t>2</w:t>
      </w:r>
      <w:r>
        <w:t>%</w:t>
      </w:r>
    </w:p>
    <w:p w14:paraId="3AD1855B" w14:textId="11099A98" w:rsidR="00DC43C5" w:rsidRPr="00CF103D" w:rsidRDefault="00DC43C5" w:rsidP="00DC43C5">
      <w:r w:rsidRPr="00CF103D">
        <w:t xml:space="preserve">Violation Responses: </w:t>
      </w:r>
      <w:r>
        <w:t>9</w:t>
      </w:r>
      <w:r w:rsidR="00553945">
        <w:t>6</w:t>
      </w:r>
      <w:r>
        <w:t>%</w:t>
      </w:r>
    </w:p>
    <w:p w14:paraId="12F5BCBE" w14:textId="1734E7EB" w:rsidR="00DC43C5" w:rsidRPr="00CF103D" w:rsidRDefault="00DC43C5" w:rsidP="00DC43C5">
      <w:r w:rsidRPr="00CF103D">
        <w:t xml:space="preserve">Case Closure Replies: </w:t>
      </w:r>
      <w:r>
        <w:t>9</w:t>
      </w:r>
      <w:r w:rsidR="00553945">
        <w:t>5</w:t>
      </w:r>
      <w:r>
        <w:t>%</w:t>
      </w:r>
    </w:p>
    <w:p w14:paraId="78567FD7" w14:textId="0964C351" w:rsidR="00DC43C5" w:rsidRPr="00CF103D" w:rsidRDefault="00DC43C5" w:rsidP="00DC43C5">
      <w:r w:rsidRPr="00CF103D">
        <w:t xml:space="preserve">Requested Progress Reports: </w:t>
      </w:r>
      <w:r>
        <w:t>96%</w:t>
      </w:r>
    </w:p>
    <w:p w14:paraId="29734B80" w14:textId="39EF85C9" w:rsidR="00DC43C5" w:rsidRPr="00CF103D" w:rsidRDefault="00DC43C5" w:rsidP="00DC43C5">
      <w:r w:rsidRPr="00CF103D">
        <w:t xml:space="preserve">Transfer Reply: </w:t>
      </w:r>
      <w:r w:rsidR="00B26D62">
        <w:t>9</w:t>
      </w:r>
      <w:r w:rsidR="00553945">
        <w:t>7</w:t>
      </w:r>
      <w:r w:rsidRPr="00CF103D">
        <w:t>%</w:t>
      </w:r>
    </w:p>
    <w:p w14:paraId="472432A9" w14:textId="6969DC9D" w:rsidR="00DC43C5" w:rsidRPr="00CF103D" w:rsidRDefault="00DC43C5" w:rsidP="00DC43C5">
      <w:r w:rsidRPr="00CF103D">
        <w:t>Reply for Reporting Instructions: 9</w:t>
      </w:r>
      <w:r w:rsidR="00553945">
        <w:t>8</w:t>
      </w:r>
      <w:r w:rsidR="00B26D62">
        <w:t>%</w:t>
      </w:r>
    </w:p>
    <w:p w14:paraId="52B849F8" w14:textId="77777777" w:rsidR="00DC43C5" w:rsidRDefault="00DC43C5" w:rsidP="00DC43C5"/>
    <w:p w14:paraId="1EFC0F21" w14:textId="77777777" w:rsidR="00211D3C" w:rsidRDefault="00DC43C5" w:rsidP="00214B36">
      <w:r>
        <w:t>Trending at or above the national average. Last four years compliance standards maintained at or above 90%.</w:t>
      </w:r>
    </w:p>
    <w:p w14:paraId="2C988C8A" w14:textId="77777777" w:rsidR="00211D3C" w:rsidRDefault="00211D3C" w:rsidP="00214B36"/>
    <w:p w14:paraId="06052AB9" w14:textId="77777777" w:rsidR="00211D3C" w:rsidRDefault="00211D3C" w:rsidP="00214B36"/>
    <w:p w14:paraId="40E4C075" w14:textId="735459C7" w:rsidR="00214B36" w:rsidRPr="00211D3C" w:rsidRDefault="00214B36" w:rsidP="00214B36">
      <w:r w:rsidRPr="00553945">
        <w:rPr>
          <w:b/>
          <w:bCs/>
          <w:u w:val="single"/>
        </w:rPr>
        <w:t>2024 Annual Business Meeting in Scottsdale, AZ</w:t>
      </w:r>
    </w:p>
    <w:p w14:paraId="3CFC94C9" w14:textId="77777777" w:rsidR="00214B36" w:rsidRDefault="00214B36" w:rsidP="00B26D62"/>
    <w:p w14:paraId="4A4794B2" w14:textId="6C75657A" w:rsidR="00214B36" w:rsidRPr="00421EC2" w:rsidRDefault="00214B36" w:rsidP="00214B36">
      <w:pPr>
        <w:rPr>
          <w:b/>
          <w:bCs/>
          <w:i/>
          <w:iCs/>
        </w:rPr>
      </w:pPr>
      <w:r w:rsidRPr="00214B36">
        <w:rPr>
          <w:b/>
          <w:bCs/>
          <w:i/>
          <w:iCs/>
        </w:rPr>
        <w:t>New Rule Amendment – Effective November 1, 2024</w:t>
      </w:r>
      <w:r w:rsidR="00421EC2" w:rsidRPr="00421EC2">
        <w:rPr>
          <w:b/>
          <w:bCs/>
          <w:i/>
          <w:iCs/>
        </w:rPr>
        <w:t>:</w:t>
      </w:r>
    </w:p>
    <w:p w14:paraId="59A51333" w14:textId="77777777" w:rsidR="00421EC2" w:rsidRDefault="00421EC2" w:rsidP="00214B36">
      <w:pPr>
        <w:rPr>
          <w:b/>
          <w:bCs/>
        </w:rPr>
      </w:pPr>
    </w:p>
    <w:p w14:paraId="43F1E5F5" w14:textId="7D6CEFD0" w:rsidR="00421EC2" w:rsidRPr="00421EC2" w:rsidRDefault="00421EC2" w:rsidP="00421EC2">
      <w:pPr>
        <w:numPr>
          <w:ilvl w:val="0"/>
          <w:numId w:val="13"/>
        </w:numPr>
      </w:pPr>
      <w:r w:rsidRPr="00421EC2">
        <w:t xml:space="preserve">Replace the term “offender” with “supervised </w:t>
      </w:r>
      <w:proofErr w:type="gramStart"/>
      <w:r w:rsidRPr="00421EC2">
        <w:t>individual”</w:t>
      </w:r>
      <w:proofErr w:type="gramEnd"/>
      <w:r w:rsidR="006A72CC">
        <w:t xml:space="preserve"> </w:t>
      </w:r>
    </w:p>
    <w:p w14:paraId="151E3574" w14:textId="77777777" w:rsidR="00211D3C" w:rsidRDefault="00421EC2" w:rsidP="00211D3C">
      <w:pPr>
        <w:numPr>
          <w:ilvl w:val="0"/>
          <w:numId w:val="13"/>
        </w:numPr>
      </w:pPr>
      <w:r w:rsidRPr="00421EC2">
        <w:t>Amendment is strictly editorial adjustments, with no substantive changes made to the rules themselves.  Amendments will be effective November 1, 2024</w:t>
      </w:r>
    </w:p>
    <w:p w14:paraId="0D6D05C6" w14:textId="77777777" w:rsidR="00211D3C" w:rsidRDefault="00211D3C" w:rsidP="00211D3C"/>
    <w:p w14:paraId="0837DCB0" w14:textId="77777777" w:rsidR="00211D3C" w:rsidRDefault="00211D3C" w:rsidP="00211D3C"/>
    <w:p w14:paraId="372058D1" w14:textId="2A833FEB" w:rsidR="00214B36" w:rsidRPr="00211D3C" w:rsidRDefault="00214B36" w:rsidP="00211D3C">
      <w:pPr>
        <w:rPr>
          <w:i/>
          <w:iCs/>
        </w:rPr>
      </w:pPr>
      <w:r w:rsidRPr="00211D3C">
        <w:rPr>
          <w:b/>
          <w:bCs/>
          <w:i/>
          <w:iCs/>
        </w:rPr>
        <w:t>ICAOS Annual Report</w:t>
      </w:r>
      <w:r w:rsidR="00421EC2" w:rsidRPr="00211D3C">
        <w:rPr>
          <w:b/>
          <w:bCs/>
          <w:i/>
          <w:iCs/>
        </w:rPr>
        <w:t>:</w:t>
      </w:r>
    </w:p>
    <w:p w14:paraId="3FF27CF0" w14:textId="77777777" w:rsidR="00421EC2" w:rsidRDefault="00421EC2" w:rsidP="00214B36">
      <w:pPr>
        <w:rPr>
          <w:b/>
          <w:bCs/>
        </w:rPr>
      </w:pPr>
    </w:p>
    <w:p w14:paraId="7AF6D0FC" w14:textId="77777777" w:rsidR="00211D3C" w:rsidRDefault="00BE064A" w:rsidP="00214B36">
      <w:hyperlink r:id="rId8" w:history="1">
        <w:r w:rsidR="00421EC2" w:rsidRPr="00421EC2">
          <w:rPr>
            <w:rStyle w:val="Hyperlink"/>
          </w:rPr>
          <w:t>Interactive Annual Report 2024 - Home page | ICAOS (interstatecompact.org)</w:t>
        </w:r>
      </w:hyperlink>
    </w:p>
    <w:p w14:paraId="75C6A272" w14:textId="77777777" w:rsidR="00211D3C" w:rsidRDefault="00211D3C" w:rsidP="00214B36"/>
    <w:p w14:paraId="636E0E55" w14:textId="77777777" w:rsidR="00211D3C" w:rsidRDefault="00211D3C" w:rsidP="00214B36">
      <w:pPr>
        <w:rPr>
          <w:b/>
          <w:bCs/>
          <w:i/>
          <w:iCs/>
        </w:rPr>
      </w:pPr>
    </w:p>
    <w:p w14:paraId="6EFC0FD5" w14:textId="08A60081" w:rsidR="00214B36" w:rsidRPr="00211D3C" w:rsidRDefault="00214B36" w:rsidP="00214B36">
      <w:r w:rsidRPr="00214B36">
        <w:rPr>
          <w:b/>
          <w:bCs/>
          <w:i/>
          <w:iCs/>
        </w:rPr>
        <w:t>Annual Due Increase</w:t>
      </w:r>
      <w:r w:rsidR="00421EC2" w:rsidRPr="00421EC2">
        <w:rPr>
          <w:b/>
          <w:bCs/>
          <w:i/>
          <w:iCs/>
        </w:rPr>
        <w:t>:</w:t>
      </w:r>
    </w:p>
    <w:p w14:paraId="413B88D3" w14:textId="77777777" w:rsidR="00421EC2" w:rsidRDefault="00421EC2" w:rsidP="00214B36">
      <w:pPr>
        <w:rPr>
          <w:b/>
          <w:bCs/>
        </w:rPr>
      </w:pPr>
    </w:p>
    <w:p w14:paraId="61695E11" w14:textId="77777777" w:rsidR="00211D3C" w:rsidRDefault="00421EC2" w:rsidP="00214B36">
      <w:r w:rsidRPr="00421EC2">
        <w:t xml:space="preserve">In FY2024, the Commission increased dues by a standard 5.25% for five years. In FY2029, the standard annual increase reduces to 3%. </w:t>
      </w:r>
    </w:p>
    <w:p w14:paraId="25E0CDF7" w14:textId="77777777" w:rsidR="00211D3C" w:rsidRDefault="00211D3C" w:rsidP="00214B36"/>
    <w:p w14:paraId="5571C52C" w14:textId="77777777" w:rsidR="00211D3C" w:rsidRDefault="00211D3C" w:rsidP="00214B36">
      <w:pPr>
        <w:rPr>
          <w:b/>
          <w:bCs/>
          <w:i/>
          <w:iCs/>
        </w:rPr>
      </w:pPr>
    </w:p>
    <w:p w14:paraId="56F84A46" w14:textId="1D3A022A" w:rsidR="00214B36" w:rsidRPr="00211D3C" w:rsidRDefault="00670F10" w:rsidP="00214B36">
      <w:r>
        <w:rPr>
          <w:b/>
          <w:bCs/>
          <w:i/>
          <w:iCs/>
        </w:rPr>
        <w:t xml:space="preserve">Road to Home </w:t>
      </w:r>
      <w:r w:rsidR="00214B36" w:rsidRPr="00214B36">
        <w:rPr>
          <w:b/>
          <w:bCs/>
          <w:i/>
          <w:iCs/>
        </w:rPr>
        <w:t>Documentary</w:t>
      </w:r>
      <w:r>
        <w:rPr>
          <w:b/>
          <w:bCs/>
          <w:i/>
          <w:iCs/>
        </w:rPr>
        <w:t>:</w:t>
      </w:r>
    </w:p>
    <w:p w14:paraId="6E06C475" w14:textId="77777777" w:rsidR="00F1527E" w:rsidRPr="00F1527E" w:rsidRDefault="00F1527E" w:rsidP="00214B36"/>
    <w:p w14:paraId="1E40398F" w14:textId="79538DCE" w:rsidR="00F1527E" w:rsidRPr="00F1527E" w:rsidRDefault="00F1527E" w:rsidP="00F1527E">
      <w:r w:rsidRPr="00F1527E">
        <w:t xml:space="preserve">The documentary's goal </w:t>
      </w:r>
      <w:r>
        <w:t xml:space="preserve">is </w:t>
      </w:r>
      <w:r w:rsidRPr="00F1527E">
        <w:t>to show the personal experiences of individuals involved in the Interstate Compact, focusing on their journeys home after committing crimes or serving sentences in different states. The documentary has received significant recognition, placing second at a National Film Festival and garnering over 5,000 views, serving as an effective storytelling tool</w:t>
      </w:r>
      <w:r>
        <w:t xml:space="preserve"> </w:t>
      </w:r>
      <w:r w:rsidRPr="00F1527E">
        <w:t>conveying the organization's message and story to a broader audience.</w:t>
      </w:r>
    </w:p>
    <w:p w14:paraId="7561DC19" w14:textId="77777777" w:rsidR="00670F10" w:rsidRDefault="00670F10" w:rsidP="00214B36">
      <w:pPr>
        <w:rPr>
          <w:b/>
          <w:bCs/>
          <w:i/>
          <w:iCs/>
        </w:rPr>
      </w:pPr>
    </w:p>
    <w:p w14:paraId="71BA130F" w14:textId="77777777" w:rsidR="00211D3C" w:rsidRDefault="00BE064A" w:rsidP="00214B36">
      <w:pPr>
        <w:rPr>
          <w:b/>
          <w:bCs/>
        </w:rPr>
      </w:pPr>
      <w:hyperlink r:id="rId9" w:history="1">
        <w:r w:rsidR="00670F10" w:rsidRPr="00670F10">
          <w:rPr>
            <w:rStyle w:val="Hyperlink"/>
          </w:rPr>
          <w:t>The Road Home (2022) | Full Movie - YouTube</w:t>
        </w:r>
      </w:hyperlink>
    </w:p>
    <w:p w14:paraId="06C5B8E9" w14:textId="77777777" w:rsidR="00211D3C" w:rsidRDefault="00211D3C" w:rsidP="00214B36">
      <w:pPr>
        <w:rPr>
          <w:b/>
          <w:bCs/>
        </w:rPr>
      </w:pPr>
    </w:p>
    <w:p w14:paraId="5D263131" w14:textId="77777777" w:rsidR="00211D3C" w:rsidRPr="00211D3C" w:rsidRDefault="00211D3C" w:rsidP="00214B36">
      <w:pPr>
        <w:rPr>
          <w:b/>
          <w:bCs/>
          <w:u w:val="single"/>
        </w:rPr>
      </w:pPr>
    </w:p>
    <w:p w14:paraId="3AEB8112" w14:textId="04521CC4" w:rsidR="00CA5A20" w:rsidRPr="00211D3C" w:rsidRDefault="00214B36" w:rsidP="00214B36">
      <w:pPr>
        <w:rPr>
          <w:b/>
          <w:bCs/>
          <w:u w:val="single"/>
        </w:rPr>
      </w:pPr>
      <w:r w:rsidRPr="00211D3C">
        <w:rPr>
          <w:b/>
          <w:bCs/>
          <w:u w:val="single"/>
        </w:rPr>
        <w:t xml:space="preserve">2025 Annual Business Meeting </w:t>
      </w:r>
      <w:proofErr w:type="gramStart"/>
      <w:r w:rsidRPr="00211D3C">
        <w:rPr>
          <w:b/>
          <w:bCs/>
          <w:u w:val="single"/>
        </w:rPr>
        <w:t xml:space="preserve">– </w:t>
      </w:r>
      <w:r w:rsidR="00CA5A20" w:rsidRPr="00211D3C">
        <w:rPr>
          <w:b/>
          <w:bCs/>
          <w:u w:val="single"/>
        </w:rPr>
        <w:t xml:space="preserve"> </w:t>
      </w:r>
      <w:r w:rsidR="00763CB7" w:rsidRPr="00211D3C">
        <w:rPr>
          <w:b/>
          <w:bCs/>
          <w:u w:val="single"/>
        </w:rPr>
        <w:t>Puerto</w:t>
      </w:r>
      <w:proofErr w:type="gramEnd"/>
      <w:r w:rsidR="00763CB7" w:rsidRPr="00211D3C">
        <w:rPr>
          <w:b/>
          <w:bCs/>
          <w:u w:val="single"/>
        </w:rPr>
        <w:t xml:space="preserve"> Rico Sept</w:t>
      </w:r>
      <w:r w:rsidR="00CA5A20" w:rsidRPr="00211D3C">
        <w:rPr>
          <w:b/>
          <w:bCs/>
          <w:u w:val="single"/>
        </w:rPr>
        <w:t xml:space="preserve"> 30</w:t>
      </w:r>
      <w:r w:rsidR="00CA5A20" w:rsidRPr="00211D3C">
        <w:rPr>
          <w:b/>
          <w:bCs/>
          <w:u w:val="single"/>
          <w:vertAlign w:val="superscript"/>
        </w:rPr>
        <w:t>th</w:t>
      </w:r>
      <w:r w:rsidR="00CA5A20" w:rsidRPr="00211D3C">
        <w:rPr>
          <w:b/>
          <w:bCs/>
          <w:u w:val="single"/>
        </w:rPr>
        <w:t>- Oct 1</w:t>
      </w:r>
      <w:r w:rsidR="00CA5A20" w:rsidRPr="00211D3C">
        <w:rPr>
          <w:b/>
          <w:bCs/>
          <w:u w:val="single"/>
          <w:vertAlign w:val="superscript"/>
        </w:rPr>
        <w:t>st</w:t>
      </w:r>
      <w:r w:rsidR="00CA5A20" w:rsidRPr="00211D3C">
        <w:rPr>
          <w:b/>
          <w:bCs/>
          <w:u w:val="single"/>
        </w:rPr>
        <w:t xml:space="preserve">, 2025 </w:t>
      </w:r>
    </w:p>
    <w:p w14:paraId="6FE86C14" w14:textId="4735B5CB" w:rsidR="00E6140F" w:rsidRPr="00CA5A20" w:rsidRDefault="00E6140F" w:rsidP="00E6140F"/>
    <w:p w14:paraId="1DFA8F6C" w14:textId="3E225D18" w:rsidR="00211D3C" w:rsidRDefault="00211D3C" w:rsidP="00211D3C">
      <w:r>
        <w:t>This ABM is considered a rule-making year, with several rule proposals expected to be presented in the coming months. State Council meeting to be held to review these rule proposals and gauge the council's feedback.</w:t>
      </w:r>
    </w:p>
    <w:p w14:paraId="34A5713C" w14:textId="0168593E" w:rsidR="00CA5A20" w:rsidRDefault="00211D3C" w:rsidP="00E6140F">
      <w:r>
        <w:t>Anticipation of a robust level of rule proposals to be brought forth to the council before the September 30th ABM.</w:t>
      </w:r>
    </w:p>
    <w:p w14:paraId="42F086B2" w14:textId="77777777" w:rsidR="00211D3C" w:rsidRDefault="00211D3C" w:rsidP="00E6140F"/>
    <w:p w14:paraId="7433A2E5" w14:textId="77777777" w:rsidR="00211D3C" w:rsidRPr="00211D3C" w:rsidRDefault="00211D3C" w:rsidP="00E6140F"/>
    <w:p w14:paraId="5A328BF8" w14:textId="341FC3C8" w:rsidR="0091106F" w:rsidRPr="00211D3C" w:rsidRDefault="00E6140F" w:rsidP="0091106F">
      <w:pPr>
        <w:rPr>
          <w:b/>
          <w:bCs/>
          <w:u w:val="single"/>
        </w:rPr>
      </w:pPr>
      <w:r w:rsidRPr="00211D3C">
        <w:rPr>
          <w:b/>
          <w:bCs/>
          <w:u w:val="single"/>
        </w:rPr>
        <w:t>Questions/Discussion</w:t>
      </w:r>
      <w:r w:rsidR="00670F10" w:rsidRPr="00211D3C">
        <w:rPr>
          <w:b/>
          <w:bCs/>
          <w:u w:val="single"/>
        </w:rPr>
        <w:t>:</w:t>
      </w:r>
    </w:p>
    <w:p w14:paraId="30C16A52" w14:textId="77777777" w:rsidR="00670F10" w:rsidRPr="006A72CC" w:rsidRDefault="00670F10" w:rsidP="0091106F"/>
    <w:p w14:paraId="15C84917" w14:textId="60A8C58A" w:rsidR="006A72CC" w:rsidRDefault="006A72CC" w:rsidP="0091106F">
      <w:r>
        <w:t xml:space="preserve">A surprising statistic is that over 74% of individuals returned to their sending state for violations. </w:t>
      </w:r>
      <w:r w:rsidR="00670F10" w:rsidRPr="006A72CC">
        <w:t xml:space="preserve">Interstate Compact </w:t>
      </w:r>
      <w:r>
        <w:t xml:space="preserve">will be </w:t>
      </w:r>
      <w:r w:rsidR="00670F10" w:rsidRPr="006A72CC">
        <w:t xml:space="preserve">focusing on </w:t>
      </w:r>
      <w:r w:rsidRPr="006A72CC">
        <w:t>reducing the number of times individuals are returned to their home state for violations</w:t>
      </w:r>
      <w:r w:rsidR="00F1527E">
        <w:t xml:space="preserve"> and wil</w:t>
      </w:r>
      <w:r w:rsidRPr="006A72CC">
        <w:t xml:space="preserve">l </w:t>
      </w:r>
      <w:r w:rsidR="00F1527E">
        <w:t>be presenting</w:t>
      </w:r>
      <w:r w:rsidRPr="006A72CC">
        <w:t xml:space="preserve"> at the National Parol</w:t>
      </w:r>
      <w:r>
        <w:t>e</w:t>
      </w:r>
      <w:r w:rsidRPr="006A72CC">
        <w:t xml:space="preserve"> and Probation Association Conference to share strategies for addressing violations without unnecessary transfers.</w:t>
      </w:r>
    </w:p>
    <w:p w14:paraId="7579FF1D" w14:textId="77777777" w:rsidR="00CA5A20" w:rsidRPr="00E07DC0" w:rsidRDefault="00CA5A20" w:rsidP="0091106F">
      <w:pPr>
        <w:rPr>
          <w:b/>
          <w:bCs/>
        </w:rPr>
      </w:pPr>
    </w:p>
    <w:p w14:paraId="13D5BB94" w14:textId="053CD1C0" w:rsidR="00E54646" w:rsidRPr="00E54646" w:rsidRDefault="00FF2978" w:rsidP="00E54646">
      <w:r w:rsidRPr="00FF2978">
        <w:rPr>
          <w:b/>
          <w:bCs/>
          <w:i/>
          <w:iCs/>
        </w:rPr>
        <w:t>Discussion on Compact Fees and Extradition Funds:</w:t>
      </w:r>
      <w:r>
        <w:t xml:space="preserve"> Conversation</w:t>
      </w:r>
      <w:r w:rsidR="00E07DC0">
        <w:t xml:space="preserve"> of increasing the compact fee or exploring other options that could address the shortfall. </w:t>
      </w:r>
      <w:r w:rsidR="00E54646" w:rsidRPr="00E54646">
        <w:rPr>
          <w:i/>
          <w:iCs/>
        </w:rPr>
        <w:t>(rule-writing amendments can be made without legislative action)</w:t>
      </w:r>
    </w:p>
    <w:p w14:paraId="4EDB9E28" w14:textId="0989D5F1" w:rsidR="00E07DC0" w:rsidRDefault="00E07DC0" w:rsidP="00E07DC0"/>
    <w:p w14:paraId="3E3439F9" w14:textId="77777777" w:rsidR="00CA5A20" w:rsidRDefault="00CA5A20" w:rsidP="00E07DC0"/>
    <w:p w14:paraId="44980BAB" w14:textId="4ED8935A" w:rsidR="00FF2978" w:rsidRPr="00FF2978" w:rsidRDefault="00FF2978" w:rsidP="00FF2978">
      <w:pPr>
        <w:rPr>
          <w:i/>
          <w:iCs/>
        </w:rPr>
      </w:pPr>
      <w:r w:rsidRPr="00FF2978">
        <w:rPr>
          <w:i/>
          <w:iCs/>
        </w:rPr>
        <w:t>Current Compact Fee Practices and Comparisons</w:t>
      </w:r>
      <w:r>
        <w:rPr>
          <w:i/>
          <w:iCs/>
        </w:rPr>
        <w:t xml:space="preserve">: </w:t>
      </w:r>
    </w:p>
    <w:p w14:paraId="4A7C03B4" w14:textId="77777777" w:rsidR="00B9155B" w:rsidRDefault="00B9155B" w:rsidP="00211D3C"/>
    <w:p w14:paraId="54557070" w14:textId="0F3A6CE5" w:rsidR="00211D3C" w:rsidRDefault="00CA5A20" w:rsidP="00211D3C">
      <w:r>
        <w:t xml:space="preserve">Oregon's compact fee is $50, but some </w:t>
      </w:r>
      <w:r w:rsidR="00FF2978">
        <w:t xml:space="preserve">western </w:t>
      </w:r>
      <w:r>
        <w:t>states charg</w:t>
      </w:r>
      <w:r w:rsidR="00FF2978">
        <w:t>ing</w:t>
      </w:r>
      <w:r>
        <w:t xml:space="preserve"> $0 </w:t>
      </w:r>
      <w:r w:rsidR="00FF2978">
        <w:t>up to $300</w:t>
      </w:r>
      <w:r>
        <w:t xml:space="preserve">. </w:t>
      </w:r>
      <w:r w:rsidR="00FF2978" w:rsidRPr="00FF2978">
        <w:t>Compact fees are separate from the extradition fund and was intended to be self-sufficient. Those in</w:t>
      </w:r>
      <w:r w:rsidR="009C4F4C">
        <w:t xml:space="preserve"> DOC</w:t>
      </w:r>
      <w:r w:rsidR="00FF2978" w:rsidRPr="00FF2978">
        <w:t xml:space="preserve"> custody are exempt, and some fee reductions are available.</w:t>
      </w:r>
      <w:r w:rsidR="00FF2978">
        <w:t xml:space="preserve"> </w:t>
      </w:r>
      <w:r>
        <w:t>Oregon has been supplementing compact fund shortfalls with general fund money</w:t>
      </w:r>
      <w:r w:rsidR="00870F58">
        <w:t>, w</w:t>
      </w:r>
      <w:r w:rsidR="004A5862">
        <w:t xml:space="preserve">ith current monthly shortfalls </w:t>
      </w:r>
      <w:r w:rsidR="00E07DC0">
        <w:t xml:space="preserve">at </w:t>
      </w:r>
      <w:r w:rsidR="004A5862">
        <w:t>around five to 10k a month</w:t>
      </w:r>
      <w:r w:rsidR="00FF2978">
        <w:t xml:space="preserve"> depending on number of extraditions</w:t>
      </w:r>
      <w:r w:rsidR="004A5862">
        <w:t>.</w:t>
      </w:r>
      <w:r w:rsidR="00211D3C" w:rsidRPr="00211D3C">
        <w:rPr>
          <w:sz w:val="20"/>
        </w:rPr>
        <w:t xml:space="preserve"> </w:t>
      </w:r>
      <w:r w:rsidR="00211D3C">
        <w:t>T</w:t>
      </w:r>
      <w:r w:rsidR="00211D3C" w:rsidRPr="00211D3C">
        <w:t>he compact fund has been in the negative for the last four years, currently holding only $4,000.</w:t>
      </w:r>
    </w:p>
    <w:p w14:paraId="411B910B" w14:textId="77777777" w:rsidR="00FF2978" w:rsidRDefault="00FF2978" w:rsidP="00FF2978">
      <w:pPr>
        <w:rPr>
          <w:sz w:val="20"/>
        </w:rPr>
      </w:pPr>
      <w:bookmarkStart w:id="0" w:name="_Hlk182291145"/>
    </w:p>
    <w:p w14:paraId="46027372" w14:textId="1995D75C" w:rsidR="00B9155B" w:rsidRDefault="00B9155B" w:rsidP="00FF2978">
      <w:pPr>
        <w:rPr>
          <w:i/>
          <w:iCs/>
        </w:rPr>
      </w:pPr>
      <w:r w:rsidRPr="00B9155B">
        <w:rPr>
          <w:i/>
          <w:iCs/>
        </w:rPr>
        <w:t>Potential Solutions and Financial Impact</w:t>
      </w:r>
      <w:r>
        <w:rPr>
          <w:i/>
          <w:iCs/>
        </w:rPr>
        <w:t>:</w:t>
      </w:r>
    </w:p>
    <w:bookmarkEnd w:id="0"/>
    <w:p w14:paraId="1AE3CBEF" w14:textId="77777777" w:rsidR="00B9155B" w:rsidRDefault="00B9155B" w:rsidP="00FF2978">
      <w:pPr>
        <w:rPr>
          <w:i/>
          <w:iCs/>
        </w:rPr>
      </w:pPr>
    </w:p>
    <w:p w14:paraId="71E0C66A" w14:textId="77777777" w:rsidR="00B9155B" w:rsidRDefault="00870F58" w:rsidP="00FF2978">
      <w:pPr>
        <w:rPr>
          <w:sz w:val="20"/>
        </w:rPr>
      </w:pPr>
      <w:r>
        <w:t>Should</w:t>
      </w:r>
      <w:r w:rsidR="00E07DC0">
        <w:t xml:space="preserve"> the $50 fee</w:t>
      </w:r>
      <w:r>
        <w:t xml:space="preserve"> be kept</w:t>
      </w:r>
      <w:r w:rsidR="00E07DC0">
        <w:t xml:space="preserve"> regardless of custody status</w:t>
      </w:r>
      <w:r>
        <w:t>,</w:t>
      </w:r>
      <w:r w:rsidR="00E07DC0">
        <w:t xml:space="preserve"> a</w:t>
      </w:r>
      <w:r w:rsidR="00CA5A20">
        <w:t xml:space="preserve">djusting the fee for indigent </w:t>
      </w:r>
      <w:r>
        <w:t>individuals,</w:t>
      </w:r>
      <w:r w:rsidR="00CA5A20">
        <w:t xml:space="preserve"> or setting a sliding scale could be considered.</w:t>
      </w:r>
      <w:r w:rsidR="00E07DC0">
        <w:t xml:space="preserve"> Should the </w:t>
      </w:r>
      <w:r w:rsidR="00F248E6">
        <w:t xml:space="preserve">base </w:t>
      </w:r>
      <w:r w:rsidR="00E07DC0">
        <w:t>fee amount be adjusted</w:t>
      </w:r>
      <w:r w:rsidR="00F248E6">
        <w:t>/increased</w:t>
      </w:r>
      <w:r w:rsidR="00E07DC0">
        <w:t xml:space="preserve"> to </w:t>
      </w:r>
      <w:r w:rsidR="00F248E6">
        <w:t>cover the shortfall.</w:t>
      </w:r>
      <w:r w:rsidR="00FF2978" w:rsidRPr="00FF2978">
        <w:rPr>
          <w:sz w:val="20"/>
        </w:rPr>
        <w:t xml:space="preserve"> </w:t>
      </w:r>
    </w:p>
    <w:p w14:paraId="4F8BD986" w14:textId="77777777" w:rsidR="00B9155B" w:rsidRDefault="00B9155B" w:rsidP="00FF2978">
      <w:pPr>
        <w:rPr>
          <w:sz w:val="20"/>
        </w:rPr>
      </w:pPr>
    </w:p>
    <w:p w14:paraId="6D64202E" w14:textId="5728B3F0" w:rsidR="00FF2978" w:rsidRPr="00FF2978" w:rsidRDefault="00FF2978" w:rsidP="00FF2978">
      <w:r>
        <w:t>Consider</w:t>
      </w:r>
      <w:r w:rsidRPr="00FF2978">
        <w:t xml:space="preserve"> requiring those releasing from D</w:t>
      </w:r>
      <w:r>
        <w:t>O</w:t>
      </w:r>
      <w:r w:rsidRPr="00FF2978">
        <w:t>C institutions to pay the fee, given the transitional savings they often have.</w:t>
      </w:r>
    </w:p>
    <w:p w14:paraId="16BF9945" w14:textId="77777777" w:rsidR="00E07DC0" w:rsidRDefault="00E07DC0" w:rsidP="00CA5A20"/>
    <w:p w14:paraId="2531957B" w14:textId="3FAE5B05" w:rsidR="00CA5A20" w:rsidRDefault="00CA5A20" w:rsidP="00CA5A20">
      <w:r>
        <w:t xml:space="preserve">Suggestion of </w:t>
      </w:r>
      <w:r w:rsidR="00F248E6">
        <w:t>p</w:t>
      </w:r>
      <w:r>
        <w:t xml:space="preserve">roviding subsidies for those who cannot pay. </w:t>
      </w:r>
      <w:r w:rsidR="005D27F6">
        <w:t>Also utilizing waiver requests to</w:t>
      </w:r>
      <w:r w:rsidR="00870F58">
        <w:t xml:space="preserve"> have fees reduced by 50%</w:t>
      </w:r>
      <w:r w:rsidR="005D27F6">
        <w:t xml:space="preserve"> for those eligible. </w:t>
      </w:r>
    </w:p>
    <w:p w14:paraId="45362C81" w14:textId="77777777" w:rsidR="00B9155B" w:rsidRDefault="00B9155B" w:rsidP="00CA5A20"/>
    <w:p w14:paraId="2C6670B1" w14:textId="4DF2B5F2" w:rsidR="00B9155B" w:rsidRPr="00B9155B" w:rsidRDefault="00B9155B" w:rsidP="00B9155B">
      <w:r w:rsidRPr="00B9155B">
        <w:rPr>
          <w:i/>
          <w:iCs/>
        </w:rPr>
        <w:t>Next Steps and Recommendation</w:t>
      </w:r>
      <w:r w:rsidRPr="00B9155B">
        <w:t xml:space="preserve">s </w:t>
      </w:r>
    </w:p>
    <w:p w14:paraId="12F31735" w14:textId="77777777" w:rsidR="00B9155B" w:rsidRDefault="00B9155B" w:rsidP="00B9155B"/>
    <w:p w14:paraId="70FDFAC8" w14:textId="1E9D5816" w:rsidR="00B9155B" w:rsidRPr="00B9155B" w:rsidRDefault="00B9155B" w:rsidP="00B9155B">
      <w:r>
        <w:t xml:space="preserve">Further </w:t>
      </w:r>
      <w:r w:rsidRPr="00B9155B">
        <w:t xml:space="preserve">analysis </w:t>
      </w:r>
      <w:r>
        <w:t xml:space="preserve">needed </w:t>
      </w:r>
      <w:r w:rsidRPr="00B9155B">
        <w:t>to estimate the financial impact of including individuals in custody in the fee structure.</w:t>
      </w:r>
    </w:p>
    <w:p w14:paraId="05A884A0" w14:textId="77777777" w:rsidR="00B9155B" w:rsidRDefault="00B9155B" w:rsidP="00B9155B">
      <w:r>
        <w:t>Nicole Townsend</w:t>
      </w:r>
      <w:r w:rsidRPr="00B9155B">
        <w:t xml:space="preserve"> agrees to conduct a search to determine the potential revenue from incarcerated individuals applying for compact.</w:t>
      </w:r>
    </w:p>
    <w:p w14:paraId="3D86FE09" w14:textId="77777777" w:rsidR="00B9155B" w:rsidRPr="00E54646" w:rsidRDefault="00B9155B" w:rsidP="00B9155B"/>
    <w:p w14:paraId="59794262" w14:textId="7ECC6FF7" w:rsidR="00B9155B" w:rsidRPr="00B9155B" w:rsidRDefault="00B9155B" w:rsidP="00B9155B">
      <w:r w:rsidRPr="00E54646">
        <w:t>P</w:t>
      </w:r>
      <w:r w:rsidRPr="00B9155B">
        <w:t>lan to present more detailed information to the council for further consideration.</w:t>
      </w:r>
    </w:p>
    <w:p w14:paraId="4EC8C995" w14:textId="10BF8C8D" w:rsidR="00FF2978" w:rsidRPr="00E54646" w:rsidRDefault="00FF2978" w:rsidP="00211D3C"/>
    <w:p w14:paraId="1FB722E2" w14:textId="77777777" w:rsidR="00E54646" w:rsidRDefault="00E54646" w:rsidP="00211D3C">
      <w:pPr>
        <w:rPr>
          <w:b/>
          <w:bCs/>
          <w:i/>
          <w:iCs/>
        </w:rPr>
      </w:pPr>
    </w:p>
    <w:p w14:paraId="4C250808" w14:textId="14BC87EC" w:rsidR="00211D3C" w:rsidRPr="00E54646" w:rsidRDefault="00211D3C" w:rsidP="00211D3C">
      <w:pPr>
        <w:rPr>
          <w:b/>
          <w:bCs/>
          <w:i/>
          <w:iCs/>
        </w:rPr>
      </w:pPr>
      <w:r w:rsidRPr="00E54646">
        <w:rPr>
          <w:b/>
          <w:bCs/>
          <w:i/>
          <w:iCs/>
        </w:rPr>
        <w:t>Membership and Representation in the Council</w:t>
      </w:r>
      <w:r w:rsidR="00E54646" w:rsidRPr="00E54646">
        <w:rPr>
          <w:b/>
          <w:bCs/>
          <w:i/>
          <w:iCs/>
        </w:rPr>
        <w:t>:</w:t>
      </w:r>
    </w:p>
    <w:p w14:paraId="03E677D0" w14:textId="77777777" w:rsidR="00E54646" w:rsidRPr="00E54646" w:rsidRDefault="00E54646" w:rsidP="00211D3C"/>
    <w:p w14:paraId="43B1FB30" w14:textId="296F1089" w:rsidR="00211D3C" w:rsidRPr="00E54646" w:rsidRDefault="00E54646" w:rsidP="00211D3C">
      <w:r>
        <w:t>Discussed</w:t>
      </w:r>
      <w:r w:rsidR="00211D3C" w:rsidRPr="00E54646">
        <w:t xml:space="preserve"> the need to re-evaluate council membership, particularly for positions like </w:t>
      </w:r>
      <w:r w:rsidRPr="00E54646">
        <w:t>D</w:t>
      </w:r>
      <w:r w:rsidR="00211D3C" w:rsidRPr="00E54646">
        <w:t xml:space="preserve">efense </w:t>
      </w:r>
      <w:r w:rsidRPr="00E54646">
        <w:t>A</w:t>
      </w:r>
      <w:r w:rsidR="00211D3C" w:rsidRPr="00E54646">
        <w:t>ttorneys and representatives from the House.</w:t>
      </w:r>
    </w:p>
    <w:p w14:paraId="4740722B" w14:textId="77777777" w:rsidR="00E54646" w:rsidRPr="00E54646" w:rsidRDefault="00E54646" w:rsidP="00211D3C"/>
    <w:p w14:paraId="1DFE49F0" w14:textId="322AD3EC" w:rsidR="00211D3C" w:rsidRPr="00E54646" w:rsidRDefault="00E54646" w:rsidP="00211D3C">
      <w:r w:rsidRPr="00E54646">
        <w:t>S</w:t>
      </w:r>
      <w:r w:rsidR="00211D3C" w:rsidRPr="00E54646">
        <w:t>uggest</w:t>
      </w:r>
      <w:r w:rsidRPr="00E54646">
        <w:t>ion of</w:t>
      </w:r>
      <w:r w:rsidR="00211D3C" w:rsidRPr="00E54646">
        <w:t xml:space="preserve"> contacting Sean McCray, the </w:t>
      </w:r>
      <w:r w:rsidRPr="00E54646">
        <w:t>E</w:t>
      </w:r>
      <w:r w:rsidR="00211D3C" w:rsidRPr="00E54646">
        <w:t xml:space="preserve">xecutive </w:t>
      </w:r>
      <w:r w:rsidRPr="00E54646">
        <w:t>D</w:t>
      </w:r>
      <w:r w:rsidR="00211D3C" w:rsidRPr="00E54646">
        <w:t>irector of the Oregon Criminal Defense Lawyers, for potential representation.</w:t>
      </w:r>
    </w:p>
    <w:p w14:paraId="7C05BBB2" w14:textId="77777777" w:rsidR="00E54646" w:rsidRPr="00E54646" w:rsidRDefault="00E54646" w:rsidP="00211D3C"/>
    <w:p w14:paraId="78EC2CC4" w14:textId="49709DAD" w:rsidR="00211D3C" w:rsidRPr="00E54646" w:rsidRDefault="00E54646" w:rsidP="00211D3C">
      <w:r w:rsidRPr="00E54646">
        <w:t xml:space="preserve">Highlighting </w:t>
      </w:r>
      <w:r w:rsidR="00211D3C" w:rsidRPr="00E54646">
        <w:t xml:space="preserve">the importance of including someone from the Sheriff's Association or </w:t>
      </w:r>
      <w:r>
        <w:t>T</w:t>
      </w:r>
      <w:r w:rsidR="00211D3C" w:rsidRPr="00E54646">
        <w:t>ransport t</w:t>
      </w:r>
      <w:r w:rsidR="00832C56">
        <w:t xml:space="preserve">hat </w:t>
      </w:r>
      <w:r w:rsidR="00211D3C" w:rsidRPr="00E54646">
        <w:t>handle day-to-day compact issues.</w:t>
      </w:r>
    </w:p>
    <w:p w14:paraId="6B4C3239" w14:textId="4C6D35FA" w:rsidR="00214B36" w:rsidRPr="007101F2" w:rsidRDefault="00214B36" w:rsidP="00211D3C">
      <w:pPr>
        <w:rPr>
          <w:sz w:val="20"/>
        </w:rPr>
      </w:pPr>
    </w:p>
    <w:sectPr w:rsidR="00214B36" w:rsidRPr="007101F2" w:rsidSect="00DD54A1">
      <w:footerReference w:type="default" r:id="rId10"/>
      <w:pgSz w:w="12240" w:h="15840"/>
      <w:pgMar w:top="720" w:right="720" w:bottom="720" w:left="720" w:header="720" w:footer="720" w:gutter="0"/>
      <w:pgBorders w:offsetFrom="page">
        <w:top w:val="cornerTriangles" w:sz="10" w:space="24" w:color="auto"/>
        <w:left w:val="cornerTriangles" w:sz="10" w:space="24" w:color="auto"/>
        <w:bottom w:val="cornerTriangles" w:sz="10" w:space="24" w:color="auto"/>
        <w:right w:val="cornerTriangles" w:sz="10"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BE57A" w14:textId="77777777" w:rsidR="00C1579D" w:rsidRDefault="00C1579D" w:rsidP="00196EA9">
      <w:r>
        <w:separator/>
      </w:r>
    </w:p>
  </w:endnote>
  <w:endnote w:type="continuationSeparator" w:id="0">
    <w:p w14:paraId="3CE08516" w14:textId="77777777" w:rsidR="00C1579D" w:rsidRDefault="00C1579D" w:rsidP="00196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430703"/>
      <w:docPartObj>
        <w:docPartGallery w:val="Page Numbers (Bottom of Page)"/>
        <w:docPartUnique/>
      </w:docPartObj>
    </w:sdtPr>
    <w:sdtEndPr/>
    <w:sdtContent>
      <w:sdt>
        <w:sdtPr>
          <w:id w:val="1728636285"/>
          <w:docPartObj>
            <w:docPartGallery w:val="Page Numbers (Top of Page)"/>
            <w:docPartUnique/>
          </w:docPartObj>
        </w:sdtPr>
        <w:sdtEndPr/>
        <w:sdtContent>
          <w:p w14:paraId="14CAF54C" w14:textId="7B5ED6B2" w:rsidR="007D62F9" w:rsidRDefault="007D62F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FD05305" w14:textId="77777777" w:rsidR="007D62F9" w:rsidRDefault="007D6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370BB" w14:textId="77777777" w:rsidR="00C1579D" w:rsidRDefault="00C1579D" w:rsidP="00196EA9">
      <w:r>
        <w:separator/>
      </w:r>
    </w:p>
  </w:footnote>
  <w:footnote w:type="continuationSeparator" w:id="0">
    <w:p w14:paraId="72F4EAF7" w14:textId="77777777" w:rsidR="00C1579D" w:rsidRDefault="00C1579D" w:rsidP="00196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7D6C"/>
    <w:multiLevelType w:val="hybridMultilevel"/>
    <w:tmpl w:val="C532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287273"/>
    <w:multiLevelType w:val="hybridMultilevel"/>
    <w:tmpl w:val="2F1486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05D48"/>
    <w:multiLevelType w:val="hybridMultilevel"/>
    <w:tmpl w:val="CC9E7BA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C15C52"/>
    <w:multiLevelType w:val="hybridMultilevel"/>
    <w:tmpl w:val="E7925E44"/>
    <w:lvl w:ilvl="0" w:tplc="C4380EF4">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F5AEB"/>
    <w:multiLevelType w:val="hybridMultilevel"/>
    <w:tmpl w:val="7DB652A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E1680D"/>
    <w:multiLevelType w:val="hybridMultilevel"/>
    <w:tmpl w:val="FAF417E0"/>
    <w:lvl w:ilvl="0" w:tplc="5DC6ED1C">
      <w:start w:val="20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C65F7"/>
    <w:multiLevelType w:val="hybridMultilevel"/>
    <w:tmpl w:val="FD787A52"/>
    <w:lvl w:ilvl="0" w:tplc="9E96632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7547C2"/>
    <w:multiLevelType w:val="hybridMultilevel"/>
    <w:tmpl w:val="3E022C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3A2D74"/>
    <w:multiLevelType w:val="hybridMultilevel"/>
    <w:tmpl w:val="CA5EF976"/>
    <w:lvl w:ilvl="0" w:tplc="9E96632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D1038"/>
    <w:multiLevelType w:val="hybridMultilevel"/>
    <w:tmpl w:val="E7506E74"/>
    <w:lvl w:ilvl="0" w:tplc="E5DCA8E4">
      <w:start w:val="1"/>
      <w:numFmt w:val="bullet"/>
      <w:lvlText w:val="•"/>
      <w:lvlJc w:val="left"/>
      <w:pPr>
        <w:tabs>
          <w:tab w:val="num" w:pos="720"/>
        </w:tabs>
        <w:ind w:left="720" w:hanging="360"/>
      </w:pPr>
      <w:rPr>
        <w:rFonts w:ascii="Arial" w:hAnsi="Arial" w:hint="default"/>
      </w:rPr>
    </w:lvl>
    <w:lvl w:ilvl="1" w:tplc="D56047B4" w:tentative="1">
      <w:start w:val="1"/>
      <w:numFmt w:val="bullet"/>
      <w:lvlText w:val="•"/>
      <w:lvlJc w:val="left"/>
      <w:pPr>
        <w:tabs>
          <w:tab w:val="num" w:pos="1440"/>
        </w:tabs>
        <w:ind w:left="1440" w:hanging="360"/>
      </w:pPr>
      <w:rPr>
        <w:rFonts w:ascii="Arial" w:hAnsi="Arial" w:hint="default"/>
      </w:rPr>
    </w:lvl>
    <w:lvl w:ilvl="2" w:tplc="134CBA6E" w:tentative="1">
      <w:start w:val="1"/>
      <w:numFmt w:val="bullet"/>
      <w:lvlText w:val="•"/>
      <w:lvlJc w:val="left"/>
      <w:pPr>
        <w:tabs>
          <w:tab w:val="num" w:pos="2160"/>
        </w:tabs>
        <w:ind w:left="2160" w:hanging="360"/>
      </w:pPr>
      <w:rPr>
        <w:rFonts w:ascii="Arial" w:hAnsi="Arial" w:hint="default"/>
      </w:rPr>
    </w:lvl>
    <w:lvl w:ilvl="3" w:tplc="9304AE18" w:tentative="1">
      <w:start w:val="1"/>
      <w:numFmt w:val="bullet"/>
      <w:lvlText w:val="•"/>
      <w:lvlJc w:val="left"/>
      <w:pPr>
        <w:tabs>
          <w:tab w:val="num" w:pos="2880"/>
        </w:tabs>
        <w:ind w:left="2880" w:hanging="360"/>
      </w:pPr>
      <w:rPr>
        <w:rFonts w:ascii="Arial" w:hAnsi="Arial" w:hint="default"/>
      </w:rPr>
    </w:lvl>
    <w:lvl w:ilvl="4" w:tplc="790C2AC6" w:tentative="1">
      <w:start w:val="1"/>
      <w:numFmt w:val="bullet"/>
      <w:lvlText w:val="•"/>
      <w:lvlJc w:val="left"/>
      <w:pPr>
        <w:tabs>
          <w:tab w:val="num" w:pos="3600"/>
        </w:tabs>
        <w:ind w:left="3600" w:hanging="360"/>
      </w:pPr>
      <w:rPr>
        <w:rFonts w:ascii="Arial" w:hAnsi="Arial" w:hint="default"/>
      </w:rPr>
    </w:lvl>
    <w:lvl w:ilvl="5" w:tplc="7696F1D0" w:tentative="1">
      <w:start w:val="1"/>
      <w:numFmt w:val="bullet"/>
      <w:lvlText w:val="•"/>
      <w:lvlJc w:val="left"/>
      <w:pPr>
        <w:tabs>
          <w:tab w:val="num" w:pos="4320"/>
        </w:tabs>
        <w:ind w:left="4320" w:hanging="360"/>
      </w:pPr>
      <w:rPr>
        <w:rFonts w:ascii="Arial" w:hAnsi="Arial" w:hint="default"/>
      </w:rPr>
    </w:lvl>
    <w:lvl w:ilvl="6" w:tplc="77DA69DE" w:tentative="1">
      <w:start w:val="1"/>
      <w:numFmt w:val="bullet"/>
      <w:lvlText w:val="•"/>
      <w:lvlJc w:val="left"/>
      <w:pPr>
        <w:tabs>
          <w:tab w:val="num" w:pos="5040"/>
        </w:tabs>
        <w:ind w:left="5040" w:hanging="360"/>
      </w:pPr>
      <w:rPr>
        <w:rFonts w:ascii="Arial" w:hAnsi="Arial" w:hint="default"/>
      </w:rPr>
    </w:lvl>
    <w:lvl w:ilvl="7" w:tplc="F73A1448" w:tentative="1">
      <w:start w:val="1"/>
      <w:numFmt w:val="bullet"/>
      <w:lvlText w:val="•"/>
      <w:lvlJc w:val="left"/>
      <w:pPr>
        <w:tabs>
          <w:tab w:val="num" w:pos="5760"/>
        </w:tabs>
        <w:ind w:left="5760" w:hanging="360"/>
      </w:pPr>
      <w:rPr>
        <w:rFonts w:ascii="Arial" w:hAnsi="Arial" w:hint="default"/>
      </w:rPr>
    </w:lvl>
    <w:lvl w:ilvl="8" w:tplc="8D3CC00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031114E"/>
    <w:multiLevelType w:val="hybridMultilevel"/>
    <w:tmpl w:val="3FE47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9328CA"/>
    <w:multiLevelType w:val="hybridMultilevel"/>
    <w:tmpl w:val="1988D87C"/>
    <w:lvl w:ilvl="0" w:tplc="9E96632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F50EF"/>
    <w:multiLevelType w:val="hybridMultilevel"/>
    <w:tmpl w:val="BD9235AC"/>
    <w:lvl w:ilvl="0" w:tplc="1A465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2C4D28"/>
    <w:multiLevelType w:val="hybridMultilevel"/>
    <w:tmpl w:val="8BBE5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D61C5F"/>
    <w:multiLevelType w:val="hybridMultilevel"/>
    <w:tmpl w:val="1090B406"/>
    <w:lvl w:ilvl="0" w:tplc="9E96632C">
      <w:start w:val="202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6910616">
    <w:abstractNumId w:val="14"/>
  </w:num>
  <w:num w:numId="2" w16cid:durableId="840050826">
    <w:abstractNumId w:val="1"/>
  </w:num>
  <w:num w:numId="3" w16cid:durableId="382485075">
    <w:abstractNumId w:val="4"/>
  </w:num>
  <w:num w:numId="4" w16cid:durableId="1978141067">
    <w:abstractNumId w:val="0"/>
  </w:num>
  <w:num w:numId="5" w16cid:durableId="680082065">
    <w:abstractNumId w:val="2"/>
  </w:num>
  <w:num w:numId="6" w16cid:durableId="1700007735">
    <w:abstractNumId w:val="3"/>
  </w:num>
  <w:num w:numId="7" w16cid:durableId="1427844586">
    <w:abstractNumId w:val="5"/>
  </w:num>
  <w:num w:numId="8" w16cid:durableId="2006319259">
    <w:abstractNumId w:val="6"/>
  </w:num>
  <w:num w:numId="9" w16cid:durableId="352071238">
    <w:abstractNumId w:val="11"/>
  </w:num>
  <w:num w:numId="10" w16cid:durableId="90511124">
    <w:abstractNumId w:val="8"/>
  </w:num>
  <w:num w:numId="11" w16cid:durableId="392971052">
    <w:abstractNumId w:val="7"/>
  </w:num>
  <w:num w:numId="12" w16cid:durableId="450326859">
    <w:abstractNumId w:val="12"/>
  </w:num>
  <w:num w:numId="13" w16cid:durableId="2094624289">
    <w:abstractNumId w:val="9"/>
  </w:num>
  <w:num w:numId="14" w16cid:durableId="777217090">
    <w:abstractNumId w:val="13"/>
  </w:num>
  <w:num w:numId="15" w16cid:durableId="4406096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3A"/>
    <w:rsid w:val="000038C3"/>
    <w:rsid w:val="00005879"/>
    <w:rsid w:val="00006942"/>
    <w:rsid w:val="000069E8"/>
    <w:rsid w:val="000142A3"/>
    <w:rsid w:val="00015C3C"/>
    <w:rsid w:val="00026B0B"/>
    <w:rsid w:val="000341A0"/>
    <w:rsid w:val="00035A9A"/>
    <w:rsid w:val="000728E1"/>
    <w:rsid w:val="00073855"/>
    <w:rsid w:val="00076F7D"/>
    <w:rsid w:val="00081263"/>
    <w:rsid w:val="0008522D"/>
    <w:rsid w:val="000A5C5D"/>
    <w:rsid w:val="000B3551"/>
    <w:rsid w:val="000C11FD"/>
    <w:rsid w:val="000D0545"/>
    <w:rsid w:val="000D1C91"/>
    <w:rsid w:val="000D7570"/>
    <w:rsid w:val="000E31F4"/>
    <w:rsid w:val="000F5509"/>
    <w:rsid w:val="000F5F9B"/>
    <w:rsid w:val="000F622C"/>
    <w:rsid w:val="00100B39"/>
    <w:rsid w:val="00103BE5"/>
    <w:rsid w:val="001134D3"/>
    <w:rsid w:val="00136516"/>
    <w:rsid w:val="00137F97"/>
    <w:rsid w:val="00143609"/>
    <w:rsid w:val="0015247D"/>
    <w:rsid w:val="0015290B"/>
    <w:rsid w:val="00155E11"/>
    <w:rsid w:val="00156EB1"/>
    <w:rsid w:val="00172BA7"/>
    <w:rsid w:val="001967C6"/>
    <w:rsid w:val="00196EA9"/>
    <w:rsid w:val="001A2A35"/>
    <w:rsid w:val="001A610A"/>
    <w:rsid w:val="001C0777"/>
    <w:rsid w:val="001C498D"/>
    <w:rsid w:val="001C7595"/>
    <w:rsid w:val="001D19E2"/>
    <w:rsid w:val="001D2B04"/>
    <w:rsid w:val="001E325E"/>
    <w:rsid w:val="001E6F99"/>
    <w:rsid w:val="001F7741"/>
    <w:rsid w:val="001F7FD6"/>
    <w:rsid w:val="00200CD6"/>
    <w:rsid w:val="00204D04"/>
    <w:rsid w:val="00211D3C"/>
    <w:rsid w:val="00214605"/>
    <w:rsid w:val="00214B36"/>
    <w:rsid w:val="00221AEA"/>
    <w:rsid w:val="00227BA7"/>
    <w:rsid w:val="00232811"/>
    <w:rsid w:val="00235399"/>
    <w:rsid w:val="00244DA8"/>
    <w:rsid w:val="00251FC4"/>
    <w:rsid w:val="00254375"/>
    <w:rsid w:val="00264CAF"/>
    <w:rsid w:val="00275A1B"/>
    <w:rsid w:val="00275BE0"/>
    <w:rsid w:val="002844C8"/>
    <w:rsid w:val="00292A9D"/>
    <w:rsid w:val="00295F76"/>
    <w:rsid w:val="002A4ED2"/>
    <w:rsid w:val="002B24D2"/>
    <w:rsid w:val="002D2A0D"/>
    <w:rsid w:val="002D7B93"/>
    <w:rsid w:val="002E5477"/>
    <w:rsid w:val="002F3588"/>
    <w:rsid w:val="002F7862"/>
    <w:rsid w:val="00313243"/>
    <w:rsid w:val="0031485F"/>
    <w:rsid w:val="0031522D"/>
    <w:rsid w:val="0031772D"/>
    <w:rsid w:val="003276FD"/>
    <w:rsid w:val="003578F8"/>
    <w:rsid w:val="00361728"/>
    <w:rsid w:val="00367EA7"/>
    <w:rsid w:val="003765BC"/>
    <w:rsid w:val="00382729"/>
    <w:rsid w:val="00382CC0"/>
    <w:rsid w:val="00387573"/>
    <w:rsid w:val="0039025C"/>
    <w:rsid w:val="00392D62"/>
    <w:rsid w:val="003960DE"/>
    <w:rsid w:val="003A0716"/>
    <w:rsid w:val="003A129C"/>
    <w:rsid w:val="003A2AAA"/>
    <w:rsid w:val="003B405A"/>
    <w:rsid w:val="003C4631"/>
    <w:rsid w:val="003D19FF"/>
    <w:rsid w:val="003D4DD6"/>
    <w:rsid w:val="003D5A23"/>
    <w:rsid w:val="003E3036"/>
    <w:rsid w:val="003E6902"/>
    <w:rsid w:val="003F7BAB"/>
    <w:rsid w:val="00402384"/>
    <w:rsid w:val="004044EF"/>
    <w:rsid w:val="00412368"/>
    <w:rsid w:val="00421EC2"/>
    <w:rsid w:val="00437C2F"/>
    <w:rsid w:val="00437CD8"/>
    <w:rsid w:val="0044039F"/>
    <w:rsid w:val="004507CF"/>
    <w:rsid w:val="004709D7"/>
    <w:rsid w:val="00476383"/>
    <w:rsid w:val="00496B3B"/>
    <w:rsid w:val="004A350D"/>
    <w:rsid w:val="004A4CD1"/>
    <w:rsid w:val="004A5862"/>
    <w:rsid w:val="004C00D3"/>
    <w:rsid w:val="004D4446"/>
    <w:rsid w:val="004E4D56"/>
    <w:rsid w:val="004F036B"/>
    <w:rsid w:val="0051339C"/>
    <w:rsid w:val="005204F5"/>
    <w:rsid w:val="00524A60"/>
    <w:rsid w:val="00531EF6"/>
    <w:rsid w:val="005433A9"/>
    <w:rsid w:val="00543507"/>
    <w:rsid w:val="00553945"/>
    <w:rsid w:val="00555312"/>
    <w:rsid w:val="005568C3"/>
    <w:rsid w:val="00564989"/>
    <w:rsid w:val="00571315"/>
    <w:rsid w:val="005740F4"/>
    <w:rsid w:val="005744EC"/>
    <w:rsid w:val="00584A43"/>
    <w:rsid w:val="005B36FF"/>
    <w:rsid w:val="005C20D4"/>
    <w:rsid w:val="005D0321"/>
    <w:rsid w:val="005D27B6"/>
    <w:rsid w:val="005D27F6"/>
    <w:rsid w:val="005E5688"/>
    <w:rsid w:val="005E5A22"/>
    <w:rsid w:val="005E5B0D"/>
    <w:rsid w:val="005E797D"/>
    <w:rsid w:val="00601318"/>
    <w:rsid w:val="00603DF8"/>
    <w:rsid w:val="00605171"/>
    <w:rsid w:val="00610088"/>
    <w:rsid w:val="00614185"/>
    <w:rsid w:val="00637D80"/>
    <w:rsid w:val="00656A9E"/>
    <w:rsid w:val="00670F10"/>
    <w:rsid w:val="00674C04"/>
    <w:rsid w:val="00675C06"/>
    <w:rsid w:val="00677C8C"/>
    <w:rsid w:val="0068756F"/>
    <w:rsid w:val="0069445F"/>
    <w:rsid w:val="00697AA7"/>
    <w:rsid w:val="006A72CC"/>
    <w:rsid w:val="006A77F0"/>
    <w:rsid w:val="006B146B"/>
    <w:rsid w:val="006B1C60"/>
    <w:rsid w:val="006B1F98"/>
    <w:rsid w:val="006B6E91"/>
    <w:rsid w:val="006C1319"/>
    <w:rsid w:val="006E3C1C"/>
    <w:rsid w:val="006E5101"/>
    <w:rsid w:val="006E5257"/>
    <w:rsid w:val="006E5C4E"/>
    <w:rsid w:val="0070126D"/>
    <w:rsid w:val="007062E6"/>
    <w:rsid w:val="007101F2"/>
    <w:rsid w:val="00721446"/>
    <w:rsid w:val="007269EF"/>
    <w:rsid w:val="007369E9"/>
    <w:rsid w:val="007626D2"/>
    <w:rsid w:val="00763CB7"/>
    <w:rsid w:val="007762CA"/>
    <w:rsid w:val="00790D9D"/>
    <w:rsid w:val="00795DDC"/>
    <w:rsid w:val="00797785"/>
    <w:rsid w:val="007A1537"/>
    <w:rsid w:val="007A22D2"/>
    <w:rsid w:val="007A699B"/>
    <w:rsid w:val="007B5896"/>
    <w:rsid w:val="007B65D8"/>
    <w:rsid w:val="007C712F"/>
    <w:rsid w:val="007D15D7"/>
    <w:rsid w:val="007D5C7D"/>
    <w:rsid w:val="007D62F9"/>
    <w:rsid w:val="007E32BB"/>
    <w:rsid w:val="007F2169"/>
    <w:rsid w:val="008016F5"/>
    <w:rsid w:val="00806040"/>
    <w:rsid w:val="00806CDB"/>
    <w:rsid w:val="00820315"/>
    <w:rsid w:val="00825687"/>
    <w:rsid w:val="0083258C"/>
    <w:rsid w:val="00832C56"/>
    <w:rsid w:val="00834CAF"/>
    <w:rsid w:val="008375F7"/>
    <w:rsid w:val="00842C70"/>
    <w:rsid w:val="00846D7D"/>
    <w:rsid w:val="0085350C"/>
    <w:rsid w:val="00860FF8"/>
    <w:rsid w:val="00865A2F"/>
    <w:rsid w:val="00870F58"/>
    <w:rsid w:val="00873464"/>
    <w:rsid w:val="008767FC"/>
    <w:rsid w:val="00886F48"/>
    <w:rsid w:val="008972D3"/>
    <w:rsid w:val="008B31FB"/>
    <w:rsid w:val="008C02AE"/>
    <w:rsid w:val="008C1B4C"/>
    <w:rsid w:val="008C1FB6"/>
    <w:rsid w:val="008D344C"/>
    <w:rsid w:val="008E48A9"/>
    <w:rsid w:val="00900399"/>
    <w:rsid w:val="0091106F"/>
    <w:rsid w:val="00911A01"/>
    <w:rsid w:val="00922393"/>
    <w:rsid w:val="009247E8"/>
    <w:rsid w:val="0095169F"/>
    <w:rsid w:val="00952731"/>
    <w:rsid w:val="009610B9"/>
    <w:rsid w:val="00982180"/>
    <w:rsid w:val="00990CD0"/>
    <w:rsid w:val="00991F94"/>
    <w:rsid w:val="009A01C4"/>
    <w:rsid w:val="009A05A2"/>
    <w:rsid w:val="009A1AF2"/>
    <w:rsid w:val="009B03A8"/>
    <w:rsid w:val="009B3F16"/>
    <w:rsid w:val="009B5435"/>
    <w:rsid w:val="009C4F4C"/>
    <w:rsid w:val="009D2D68"/>
    <w:rsid w:val="009E6024"/>
    <w:rsid w:val="009E61AC"/>
    <w:rsid w:val="009E78EA"/>
    <w:rsid w:val="009F0C12"/>
    <w:rsid w:val="009F1096"/>
    <w:rsid w:val="009F41E7"/>
    <w:rsid w:val="00A041E6"/>
    <w:rsid w:val="00A12675"/>
    <w:rsid w:val="00A20F87"/>
    <w:rsid w:val="00A3011C"/>
    <w:rsid w:val="00A333F8"/>
    <w:rsid w:val="00A346DD"/>
    <w:rsid w:val="00A46AB2"/>
    <w:rsid w:val="00A53BFF"/>
    <w:rsid w:val="00A60833"/>
    <w:rsid w:val="00A60B50"/>
    <w:rsid w:val="00A7023A"/>
    <w:rsid w:val="00A73014"/>
    <w:rsid w:val="00A80685"/>
    <w:rsid w:val="00A875AA"/>
    <w:rsid w:val="00A87B0C"/>
    <w:rsid w:val="00A916BD"/>
    <w:rsid w:val="00A97535"/>
    <w:rsid w:val="00AB2A3C"/>
    <w:rsid w:val="00AB540A"/>
    <w:rsid w:val="00AC1BBB"/>
    <w:rsid w:val="00B01C62"/>
    <w:rsid w:val="00B0612E"/>
    <w:rsid w:val="00B0766A"/>
    <w:rsid w:val="00B11F95"/>
    <w:rsid w:val="00B1330F"/>
    <w:rsid w:val="00B14697"/>
    <w:rsid w:val="00B26D62"/>
    <w:rsid w:val="00B365C1"/>
    <w:rsid w:val="00B457C8"/>
    <w:rsid w:val="00B46DCB"/>
    <w:rsid w:val="00B51A51"/>
    <w:rsid w:val="00B56584"/>
    <w:rsid w:val="00B62E2E"/>
    <w:rsid w:val="00B649F8"/>
    <w:rsid w:val="00B9155B"/>
    <w:rsid w:val="00BA27BD"/>
    <w:rsid w:val="00BA4877"/>
    <w:rsid w:val="00BB56F0"/>
    <w:rsid w:val="00BB5CAE"/>
    <w:rsid w:val="00BC05BB"/>
    <w:rsid w:val="00BC7F79"/>
    <w:rsid w:val="00BE064A"/>
    <w:rsid w:val="00BE0843"/>
    <w:rsid w:val="00BF4F3F"/>
    <w:rsid w:val="00C071F9"/>
    <w:rsid w:val="00C1579D"/>
    <w:rsid w:val="00C22962"/>
    <w:rsid w:val="00C32005"/>
    <w:rsid w:val="00C33416"/>
    <w:rsid w:val="00C5468A"/>
    <w:rsid w:val="00C63C90"/>
    <w:rsid w:val="00C63DB0"/>
    <w:rsid w:val="00C730DA"/>
    <w:rsid w:val="00C7470F"/>
    <w:rsid w:val="00C75C27"/>
    <w:rsid w:val="00C83C08"/>
    <w:rsid w:val="00CA5A20"/>
    <w:rsid w:val="00CB5169"/>
    <w:rsid w:val="00CB5E11"/>
    <w:rsid w:val="00CE76FA"/>
    <w:rsid w:val="00CF103D"/>
    <w:rsid w:val="00CF415A"/>
    <w:rsid w:val="00CF7BA3"/>
    <w:rsid w:val="00D16E41"/>
    <w:rsid w:val="00D20C54"/>
    <w:rsid w:val="00D255B9"/>
    <w:rsid w:val="00D2568B"/>
    <w:rsid w:val="00D27F25"/>
    <w:rsid w:val="00D31ED2"/>
    <w:rsid w:val="00D333F5"/>
    <w:rsid w:val="00D51CA6"/>
    <w:rsid w:val="00D52DF8"/>
    <w:rsid w:val="00D52F73"/>
    <w:rsid w:val="00D60316"/>
    <w:rsid w:val="00D62D43"/>
    <w:rsid w:val="00D71F46"/>
    <w:rsid w:val="00D7566A"/>
    <w:rsid w:val="00D75F1F"/>
    <w:rsid w:val="00D80BD2"/>
    <w:rsid w:val="00D823B7"/>
    <w:rsid w:val="00D861EC"/>
    <w:rsid w:val="00D869AD"/>
    <w:rsid w:val="00D87E0E"/>
    <w:rsid w:val="00D90C24"/>
    <w:rsid w:val="00D91493"/>
    <w:rsid w:val="00DA2A8E"/>
    <w:rsid w:val="00DA7D16"/>
    <w:rsid w:val="00DB0A1B"/>
    <w:rsid w:val="00DC43C5"/>
    <w:rsid w:val="00DC48DB"/>
    <w:rsid w:val="00DD54A1"/>
    <w:rsid w:val="00DD5B9C"/>
    <w:rsid w:val="00DE1D1D"/>
    <w:rsid w:val="00DE70E4"/>
    <w:rsid w:val="00DF2E3C"/>
    <w:rsid w:val="00DF3881"/>
    <w:rsid w:val="00DF7482"/>
    <w:rsid w:val="00E07DC0"/>
    <w:rsid w:val="00E100F3"/>
    <w:rsid w:val="00E258DF"/>
    <w:rsid w:val="00E25D3E"/>
    <w:rsid w:val="00E30042"/>
    <w:rsid w:val="00E30656"/>
    <w:rsid w:val="00E37C0B"/>
    <w:rsid w:val="00E41897"/>
    <w:rsid w:val="00E42600"/>
    <w:rsid w:val="00E54646"/>
    <w:rsid w:val="00E57F4D"/>
    <w:rsid w:val="00E6140F"/>
    <w:rsid w:val="00E61ABB"/>
    <w:rsid w:val="00E65B17"/>
    <w:rsid w:val="00E719BE"/>
    <w:rsid w:val="00E87F4C"/>
    <w:rsid w:val="00E939E7"/>
    <w:rsid w:val="00EA1386"/>
    <w:rsid w:val="00EA1494"/>
    <w:rsid w:val="00EB2046"/>
    <w:rsid w:val="00EB3234"/>
    <w:rsid w:val="00EB7EB3"/>
    <w:rsid w:val="00EC134B"/>
    <w:rsid w:val="00EC2283"/>
    <w:rsid w:val="00EC49D5"/>
    <w:rsid w:val="00ED138B"/>
    <w:rsid w:val="00ED17A2"/>
    <w:rsid w:val="00ED41A6"/>
    <w:rsid w:val="00EE0A37"/>
    <w:rsid w:val="00EE225F"/>
    <w:rsid w:val="00EF0D3D"/>
    <w:rsid w:val="00EF770D"/>
    <w:rsid w:val="00F12684"/>
    <w:rsid w:val="00F1527E"/>
    <w:rsid w:val="00F2110C"/>
    <w:rsid w:val="00F248E6"/>
    <w:rsid w:val="00F27CD7"/>
    <w:rsid w:val="00F4603A"/>
    <w:rsid w:val="00F61D08"/>
    <w:rsid w:val="00F71066"/>
    <w:rsid w:val="00F71101"/>
    <w:rsid w:val="00F75CD9"/>
    <w:rsid w:val="00F83443"/>
    <w:rsid w:val="00F945A2"/>
    <w:rsid w:val="00F95512"/>
    <w:rsid w:val="00F97140"/>
    <w:rsid w:val="00FA26F0"/>
    <w:rsid w:val="00FB723A"/>
    <w:rsid w:val="00FB7415"/>
    <w:rsid w:val="00FC5F11"/>
    <w:rsid w:val="00FD7CAE"/>
    <w:rsid w:val="00FE5BF0"/>
    <w:rsid w:val="00FF2978"/>
    <w:rsid w:val="00FF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1FB27C"/>
  <w15:docId w15:val="{49331102-B1AA-4AC3-92C2-8129C20B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44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B723A"/>
    <w:rPr>
      <w:color w:val="0000FF"/>
      <w:u w:val="single"/>
    </w:rPr>
  </w:style>
  <w:style w:type="paragraph" w:styleId="BalloonText">
    <w:name w:val="Balloon Text"/>
    <w:basedOn w:val="Normal"/>
    <w:link w:val="BalloonTextChar"/>
    <w:rsid w:val="003D19FF"/>
    <w:rPr>
      <w:rFonts w:ascii="Tahoma" w:hAnsi="Tahoma" w:cs="Tahoma"/>
      <w:sz w:val="16"/>
      <w:szCs w:val="16"/>
    </w:rPr>
  </w:style>
  <w:style w:type="character" w:customStyle="1" w:styleId="BalloonTextChar">
    <w:name w:val="Balloon Text Char"/>
    <w:basedOn w:val="DefaultParagraphFont"/>
    <w:link w:val="BalloonText"/>
    <w:rsid w:val="003D19FF"/>
    <w:rPr>
      <w:rFonts w:ascii="Tahoma" w:hAnsi="Tahoma" w:cs="Tahoma"/>
      <w:sz w:val="16"/>
      <w:szCs w:val="16"/>
    </w:rPr>
  </w:style>
  <w:style w:type="paragraph" w:styleId="Header">
    <w:name w:val="header"/>
    <w:basedOn w:val="Normal"/>
    <w:link w:val="HeaderChar"/>
    <w:rsid w:val="00196EA9"/>
    <w:pPr>
      <w:tabs>
        <w:tab w:val="center" w:pos="4680"/>
        <w:tab w:val="right" w:pos="9360"/>
      </w:tabs>
    </w:pPr>
  </w:style>
  <w:style w:type="character" w:customStyle="1" w:styleId="HeaderChar">
    <w:name w:val="Header Char"/>
    <w:basedOn w:val="DefaultParagraphFont"/>
    <w:link w:val="Header"/>
    <w:rsid w:val="00196EA9"/>
    <w:rPr>
      <w:sz w:val="24"/>
      <w:szCs w:val="24"/>
    </w:rPr>
  </w:style>
  <w:style w:type="paragraph" w:styleId="Footer">
    <w:name w:val="footer"/>
    <w:basedOn w:val="Normal"/>
    <w:link w:val="FooterChar"/>
    <w:uiPriority w:val="99"/>
    <w:rsid w:val="00196EA9"/>
    <w:pPr>
      <w:tabs>
        <w:tab w:val="center" w:pos="4680"/>
        <w:tab w:val="right" w:pos="9360"/>
      </w:tabs>
    </w:pPr>
  </w:style>
  <w:style w:type="character" w:customStyle="1" w:styleId="FooterChar">
    <w:name w:val="Footer Char"/>
    <w:basedOn w:val="DefaultParagraphFont"/>
    <w:link w:val="Footer"/>
    <w:uiPriority w:val="99"/>
    <w:rsid w:val="00196EA9"/>
    <w:rPr>
      <w:sz w:val="24"/>
      <w:szCs w:val="24"/>
    </w:rPr>
  </w:style>
  <w:style w:type="character" w:styleId="CommentReference">
    <w:name w:val="annotation reference"/>
    <w:basedOn w:val="DefaultParagraphFont"/>
    <w:semiHidden/>
    <w:unhideWhenUsed/>
    <w:rsid w:val="00601318"/>
    <w:rPr>
      <w:sz w:val="16"/>
      <w:szCs w:val="16"/>
    </w:rPr>
  </w:style>
  <w:style w:type="paragraph" w:styleId="CommentText">
    <w:name w:val="annotation text"/>
    <w:basedOn w:val="Normal"/>
    <w:link w:val="CommentTextChar"/>
    <w:semiHidden/>
    <w:unhideWhenUsed/>
    <w:rsid w:val="00601318"/>
    <w:rPr>
      <w:sz w:val="20"/>
      <w:szCs w:val="20"/>
    </w:rPr>
  </w:style>
  <w:style w:type="character" w:customStyle="1" w:styleId="CommentTextChar">
    <w:name w:val="Comment Text Char"/>
    <w:basedOn w:val="DefaultParagraphFont"/>
    <w:link w:val="CommentText"/>
    <w:semiHidden/>
    <w:rsid w:val="00601318"/>
  </w:style>
  <w:style w:type="paragraph" w:styleId="CommentSubject">
    <w:name w:val="annotation subject"/>
    <w:basedOn w:val="CommentText"/>
    <w:next w:val="CommentText"/>
    <w:link w:val="CommentSubjectChar"/>
    <w:semiHidden/>
    <w:unhideWhenUsed/>
    <w:rsid w:val="00601318"/>
    <w:rPr>
      <w:b/>
      <w:bCs/>
    </w:rPr>
  </w:style>
  <w:style w:type="character" w:customStyle="1" w:styleId="CommentSubjectChar">
    <w:name w:val="Comment Subject Char"/>
    <w:basedOn w:val="CommentTextChar"/>
    <w:link w:val="CommentSubject"/>
    <w:semiHidden/>
    <w:rsid w:val="00601318"/>
    <w:rPr>
      <w:b/>
      <w:bCs/>
    </w:rPr>
  </w:style>
  <w:style w:type="paragraph" w:styleId="Revision">
    <w:name w:val="Revision"/>
    <w:hidden/>
    <w:uiPriority w:val="99"/>
    <w:semiHidden/>
    <w:rsid w:val="00076F7D"/>
    <w:rPr>
      <w:sz w:val="24"/>
      <w:szCs w:val="24"/>
    </w:rPr>
  </w:style>
  <w:style w:type="character" w:styleId="UnresolvedMention">
    <w:name w:val="Unresolved Mention"/>
    <w:basedOn w:val="DefaultParagraphFont"/>
    <w:uiPriority w:val="99"/>
    <w:semiHidden/>
    <w:unhideWhenUsed/>
    <w:rsid w:val="00E30656"/>
    <w:rPr>
      <w:color w:val="605E5C"/>
      <w:shd w:val="clear" w:color="auto" w:fill="E1DFDD"/>
    </w:rPr>
  </w:style>
  <w:style w:type="table" w:styleId="TableGrid">
    <w:name w:val="Table Grid"/>
    <w:basedOn w:val="TableNormal"/>
    <w:rsid w:val="00D87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140F"/>
    <w:pPr>
      <w:ind w:left="720"/>
      <w:contextualSpacing/>
    </w:pPr>
  </w:style>
  <w:style w:type="character" w:styleId="FollowedHyperlink">
    <w:name w:val="FollowedHyperlink"/>
    <w:basedOn w:val="DefaultParagraphFont"/>
    <w:semiHidden/>
    <w:unhideWhenUsed/>
    <w:rsid w:val="00E54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02888">
      <w:bodyDiv w:val="1"/>
      <w:marLeft w:val="0"/>
      <w:marRight w:val="0"/>
      <w:marTop w:val="0"/>
      <w:marBottom w:val="0"/>
      <w:divBdr>
        <w:top w:val="none" w:sz="0" w:space="0" w:color="auto"/>
        <w:left w:val="none" w:sz="0" w:space="0" w:color="auto"/>
        <w:bottom w:val="none" w:sz="0" w:space="0" w:color="auto"/>
        <w:right w:val="none" w:sz="0" w:space="0" w:color="auto"/>
      </w:divBdr>
    </w:div>
    <w:div w:id="292295796">
      <w:bodyDiv w:val="1"/>
      <w:marLeft w:val="0"/>
      <w:marRight w:val="0"/>
      <w:marTop w:val="0"/>
      <w:marBottom w:val="0"/>
      <w:divBdr>
        <w:top w:val="none" w:sz="0" w:space="0" w:color="auto"/>
        <w:left w:val="none" w:sz="0" w:space="0" w:color="auto"/>
        <w:bottom w:val="none" w:sz="0" w:space="0" w:color="auto"/>
        <w:right w:val="none" w:sz="0" w:space="0" w:color="auto"/>
      </w:divBdr>
    </w:div>
    <w:div w:id="314115749">
      <w:bodyDiv w:val="1"/>
      <w:marLeft w:val="0"/>
      <w:marRight w:val="0"/>
      <w:marTop w:val="0"/>
      <w:marBottom w:val="0"/>
      <w:divBdr>
        <w:top w:val="none" w:sz="0" w:space="0" w:color="auto"/>
        <w:left w:val="none" w:sz="0" w:space="0" w:color="auto"/>
        <w:bottom w:val="none" w:sz="0" w:space="0" w:color="auto"/>
        <w:right w:val="none" w:sz="0" w:space="0" w:color="auto"/>
      </w:divBdr>
      <w:divsChild>
        <w:div w:id="1175726989">
          <w:marLeft w:val="446"/>
          <w:marRight w:val="0"/>
          <w:marTop w:val="96"/>
          <w:marBottom w:val="120"/>
          <w:divBdr>
            <w:top w:val="none" w:sz="0" w:space="0" w:color="auto"/>
            <w:left w:val="none" w:sz="0" w:space="0" w:color="auto"/>
            <w:bottom w:val="none" w:sz="0" w:space="0" w:color="auto"/>
            <w:right w:val="none" w:sz="0" w:space="0" w:color="auto"/>
          </w:divBdr>
        </w:div>
        <w:div w:id="202061251">
          <w:marLeft w:val="446"/>
          <w:marRight w:val="0"/>
          <w:marTop w:val="96"/>
          <w:marBottom w:val="120"/>
          <w:divBdr>
            <w:top w:val="none" w:sz="0" w:space="0" w:color="auto"/>
            <w:left w:val="none" w:sz="0" w:space="0" w:color="auto"/>
            <w:bottom w:val="none" w:sz="0" w:space="0" w:color="auto"/>
            <w:right w:val="none" w:sz="0" w:space="0" w:color="auto"/>
          </w:divBdr>
        </w:div>
      </w:divsChild>
    </w:div>
    <w:div w:id="460729103">
      <w:bodyDiv w:val="1"/>
      <w:marLeft w:val="0"/>
      <w:marRight w:val="0"/>
      <w:marTop w:val="0"/>
      <w:marBottom w:val="0"/>
      <w:divBdr>
        <w:top w:val="none" w:sz="0" w:space="0" w:color="auto"/>
        <w:left w:val="none" w:sz="0" w:space="0" w:color="auto"/>
        <w:bottom w:val="none" w:sz="0" w:space="0" w:color="auto"/>
        <w:right w:val="none" w:sz="0" w:space="0" w:color="auto"/>
      </w:divBdr>
    </w:div>
    <w:div w:id="950666894">
      <w:bodyDiv w:val="1"/>
      <w:marLeft w:val="0"/>
      <w:marRight w:val="0"/>
      <w:marTop w:val="0"/>
      <w:marBottom w:val="0"/>
      <w:divBdr>
        <w:top w:val="none" w:sz="0" w:space="0" w:color="auto"/>
        <w:left w:val="none" w:sz="0" w:space="0" w:color="auto"/>
        <w:bottom w:val="none" w:sz="0" w:space="0" w:color="auto"/>
        <w:right w:val="none" w:sz="0" w:space="0" w:color="auto"/>
      </w:divBdr>
    </w:div>
    <w:div w:id="1010331111">
      <w:bodyDiv w:val="1"/>
      <w:marLeft w:val="240"/>
      <w:marRight w:val="240"/>
      <w:marTop w:val="240"/>
      <w:marBottom w:val="60"/>
      <w:divBdr>
        <w:top w:val="none" w:sz="0" w:space="0" w:color="auto"/>
        <w:left w:val="none" w:sz="0" w:space="0" w:color="auto"/>
        <w:bottom w:val="none" w:sz="0" w:space="0" w:color="auto"/>
        <w:right w:val="none" w:sz="0" w:space="0" w:color="auto"/>
      </w:divBdr>
    </w:div>
    <w:div w:id="1138452140">
      <w:bodyDiv w:val="1"/>
      <w:marLeft w:val="0"/>
      <w:marRight w:val="0"/>
      <w:marTop w:val="0"/>
      <w:marBottom w:val="0"/>
      <w:divBdr>
        <w:top w:val="none" w:sz="0" w:space="0" w:color="auto"/>
        <w:left w:val="none" w:sz="0" w:space="0" w:color="auto"/>
        <w:bottom w:val="none" w:sz="0" w:space="0" w:color="auto"/>
        <w:right w:val="none" w:sz="0" w:space="0" w:color="auto"/>
      </w:divBdr>
    </w:div>
    <w:div w:id="1150248999">
      <w:bodyDiv w:val="1"/>
      <w:marLeft w:val="0"/>
      <w:marRight w:val="0"/>
      <w:marTop w:val="0"/>
      <w:marBottom w:val="0"/>
      <w:divBdr>
        <w:top w:val="none" w:sz="0" w:space="0" w:color="auto"/>
        <w:left w:val="none" w:sz="0" w:space="0" w:color="auto"/>
        <w:bottom w:val="none" w:sz="0" w:space="0" w:color="auto"/>
        <w:right w:val="none" w:sz="0" w:space="0" w:color="auto"/>
      </w:divBdr>
    </w:div>
    <w:div w:id="1191382725">
      <w:bodyDiv w:val="1"/>
      <w:marLeft w:val="0"/>
      <w:marRight w:val="0"/>
      <w:marTop w:val="0"/>
      <w:marBottom w:val="0"/>
      <w:divBdr>
        <w:top w:val="none" w:sz="0" w:space="0" w:color="auto"/>
        <w:left w:val="none" w:sz="0" w:space="0" w:color="auto"/>
        <w:bottom w:val="none" w:sz="0" w:space="0" w:color="auto"/>
        <w:right w:val="none" w:sz="0" w:space="0" w:color="auto"/>
      </w:divBdr>
    </w:div>
    <w:div w:id="1509325921">
      <w:bodyDiv w:val="1"/>
      <w:marLeft w:val="0"/>
      <w:marRight w:val="0"/>
      <w:marTop w:val="0"/>
      <w:marBottom w:val="0"/>
      <w:divBdr>
        <w:top w:val="none" w:sz="0" w:space="0" w:color="auto"/>
        <w:left w:val="none" w:sz="0" w:space="0" w:color="auto"/>
        <w:bottom w:val="none" w:sz="0" w:space="0" w:color="auto"/>
        <w:right w:val="none" w:sz="0" w:space="0" w:color="auto"/>
      </w:divBdr>
    </w:div>
    <w:div w:id="1671717260">
      <w:bodyDiv w:val="1"/>
      <w:marLeft w:val="0"/>
      <w:marRight w:val="0"/>
      <w:marTop w:val="0"/>
      <w:marBottom w:val="0"/>
      <w:divBdr>
        <w:top w:val="none" w:sz="0" w:space="0" w:color="auto"/>
        <w:left w:val="none" w:sz="0" w:space="0" w:color="auto"/>
        <w:bottom w:val="none" w:sz="0" w:space="0" w:color="auto"/>
        <w:right w:val="none" w:sz="0" w:space="0" w:color="auto"/>
      </w:divBdr>
    </w:div>
    <w:div w:id="1726757410">
      <w:bodyDiv w:val="1"/>
      <w:marLeft w:val="240"/>
      <w:marRight w:val="240"/>
      <w:marTop w:val="240"/>
      <w:marBottom w:val="60"/>
      <w:divBdr>
        <w:top w:val="none" w:sz="0" w:space="0" w:color="auto"/>
        <w:left w:val="none" w:sz="0" w:space="0" w:color="auto"/>
        <w:bottom w:val="none" w:sz="0" w:space="0" w:color="auto"/>
        <w:right w:val="none" w:sz="0" w:space="0" w:color="auto"/>
      </w:divBdr>
    </w:div>
    <w:div w:id="1740515227">
      <w:bodyDiv w:val="1"/>
      <w:marLeft w:val="0"/>
      <w:marRight w:val="0"/>
      <w:marTop w:val="0"/>
      <w:marBottom w:val="0"/>
      <w:divBdr>
        <w:top w:val="none" w:sz="0" w:space="0" w:color="auto"/>
        <w:left w:val="none" w:sz="0" w:space="0" w:color="auto"/>
        <w:bottom w:val="none" w:sz="0" w:space="0" w:color="auto"/>
        <w:right w:val="none" w:sz="0" w:space="0" w:color="auto"/>
      </w:divBdr>
    </w:div>
    <w:div w:id="1801995936">
      <w:bodyDiv w:val="1"/>
      <w:marLeft w:val="0"/>
      <w:marRight w:val="0"/>
      <w:marTop w:val="0"/>
      <w:marBottom w:val="0"/>
      <w:divBdr>
        <w:top w:val="none" w:sz="0" w:space="0" w:color="auto"/>
        <w:left w:val="none" w:sz="0" w:space="0" w:color="auto"/>
        <w:bottom w:val="none" w:sz="0" w:space="0" w:color="auto"/>
        <w:right w:val="none" w:sz="0" w:space="0" w:color="auto"/>
      </w:divBdr>
    </w:div>
    <w:div w:id="1832789772">
      <w:bodyDiv w:val="1"/>
      <w:marLeft w:val="0"/>
      <w:marRight w:val="0"/>
      <w:marTop w:val="0"/>
      <w:marBottom w:val="0"/>
      <w:divBdr>
        <w:top w:val="none" w:sz="0" w:space="0" w:color="auto"/>
        <w:left w:val="none" w:sz="0" w:space="0" w:color="auto"/>
        <w:bottom w:val="none" w:sz="0" w:space="0" w:color="auto"/>
        <w:right w:val="none" w:sz="0" w:space="0" w:color="auto"/>
      </w:divBdr>
    </w:div>
    <w:div w:id="201557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statecompact.org/about/annual-reports/20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rOb8Lx3RUOo&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570DC-D2F4-4FB7-BFF9-820BC7BD9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5355</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FAUG AGENDA</vt:lpstr>
    </vt:vector>
  </TitlesOfParts>
  <Company>Polk County</Company>
  <LinksUpToDate>false</LinksUpToDate>
  <CharactersWithSpaces>6194</CharactersWithSpaces>
  <SharedDoc>false</SharedDoc>
  <HLinks>
    <vt:vector size="6" baseType="variant">
      <vt:variant>
        <vt:i4>5046364</vt:i4>
      </vt:variant>
      <vt:variant>
        <vt:i4>0</vt:i4>
      </vt:variant>
      <vt:variant>
        <vt:i4>0</vt:i4>
      </vt:variant>
      <vt:variant>
        <vt:i4>5</vt:i4>
      </vt:variant>
      <vt:variant>
        <vt:lpwstr>http://www.svfr.org/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FAUG AGENDA</dc:title>
  <dc:creator>boyera</dc:creator>
  <cp:lastModifiedBy>PATTERSON Mark G * DOC</cp:lastModifiedBy>
  <cp:revision>2</cp:revision>
  <cp:lastPrinted>2019-08-05T22:53:00Z</cp:lastPrinted>
  <dcterms:created xsi:type="dcterms:W3CDTF">2024-11-19T18:35:00Z</dcterms:created>
  <dcterms:modified xsi:type="dcterms:W3CDTF">2024-11-19T18:35:00Z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318f78-deb5-4775-a284-ff12298f8b98_Enabled">
    <vt:lpwstr>true</vt:lpwstr>
  </property>
  <property fmtid="{D5CDD505-2E9C-101B-9397-08002B2CF9AE}" pid="3" name="MSIP_Label_8a318f78-deb5-4775-a284-ff12298f8b98_SetDate">
    <vt:lpwstr>2023-12-14T17:11:14Z</vt:lpwstr>
  </property>
  <property fmtid="{D5CDD505-2E9C-101B-9397-08002B2CF9AE}" pid="4" name="MSIP_Label_8a318f78-deb5-4775-a284-ff12298f8b98_Method">
    <vt:lpwstr>Privileged</vt:lpwstr>
  </property>
  <property fmtid="{D5CDD505-2E9C-101B-9397-08002B2CF9AE}" pid="5" name="MSIP_Label_8a318f78-deb5-4775-a284-ff12298f8b98_Name">
    <vt:lpwstr>Level 2 - Limited (Items)</vt:lpwstr>
  </property>
  <property fmtid="{D5CDD505-2E9C-101B-9397-08002B2CF9AE}" pid="6" name="MSIP_Label_8a318f78-deb5-4775-a284-ff12298f8b98_SiteId">
    <vt:lpwstr>3f781cf3-3792-477b-abf5-ff27250dd659</vt:lpwstr>
  </property>
  <property fmtid="{D5CDD505-2E9C-101B-9397-08002B2CF9AE}" pid="7" name="MSIP_Label_8a318f78-deb5-4775-a284-ff12298f8b98_ActionId">
    <vt:lpwstr>b0aad3dc-c553-4f41-a94c-b1ecf31e38d5</vt:lpwstr>
  </property>
  <property fmtid="{D5CDD505-2E9C-101B-9397-08002B2CF9AE}" pid="8" name="MSIP_Label_8a318f78-deb5-4775-a284-ff12298f8b98_ContentBits">
    <vt:lpwstr>0</vt:lpwstr>
  </property>
</Properties>
</file>